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firstLine="720"/>
        <w:jc w:val="center"/>
        <w:rPr>
          <w:rFonts w:ascii="Times New Roman" w:hAnsi="Times New Roman" w:cs="Times New Roman"/>
          <w:b/>
          <w:b/>
          <w:bCs/>
          <w:sz w:val="20"/>
          <w:szCs w:val="20"/>
          <w:lang w:val="sr-RS"/>
        </w:rPr>
      </w:pPr>
      <w:r>
        <w:rPr>
          <w:rFonts w:cs="Times New Roman" w:ascii="Times New Roman" w:hAnsi="Times New Roman"/>
          <w:b/>
          <w:bCs/>
          <w:sz w:val="20"/>
          <w:szCs w:val="20"/>
          <w:lang w:val="sr-RS"/>
        </w:rPr>
        <w:t>БОДОВНА ЛИСТА ЗА ОЦЕНУ ПРОЈЕКТА ПРОИЗВОДЊЕ МЕДИЈСКИХ САДРЖАЈА</w:t>
      </w:r>
    </w:p>
    <w:p>
      <w:pPr>
        <w:pStyle w:val="Normal"/>
        <w:spacing w:before="0" w:after="0"/>
        <w:ind w:firstLine="720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  <w:t>Назив органа јавне власти:</w:t>
      </w:r>
    </w:p>
    <w:p>
      <w:pPr>
        <w:pStyle w:val="Normal"/>
        <w:spacing w:before="0" w:after="0"/>
        <w:ind w:firstLine="720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  <w:t>Назив конкурса:</w:t>
      </w:r>
    </w:p>
    <w:p>
      <w:pPr>
        <w:pStyle w:val="Normal"/>
        <w:spacing w:before="0" w:after="0"/>
        <w:ind w:firstLine="720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  <w:t>Подносилац пријаве:</w:t>
      </w:r>
    </w:p>
    <w:p>
      <w:pPr>
        <w:pStyle w:val="Normal"/>
        <w:spacing w:before="0" w:after="0"/>
        <w:ind w:firstLine="720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  <w:t>Заводни број:</w:t>
      </w:r>
    </w:p>
    <w:p>
      <w:pPr>
        <w:pStyle w:val="Normal"/>
        <w:spacing w:before="0" w:after="0"/>
        <w:ind w:firstLine="720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  <w:t>Име и презиме члана комисије:</w:t>
      </w:r>
    </w:p>
    <w:p>
      <w:pPr>
        <w:pStyle w:val="Normal"/>
        <w:spacing w:before="0" w:after="0"/>
        <w:ind w:firstLine="720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</w:r>
    </w:p>
    <w:tbl>
      <w:tblPr>
        <w:tblStyle w:val="TableGrid"/>
        <w:tblW w:w="144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95"/>
        <w:gridCol w:w="4508"/>
      </w:tblGrid>
      <w:tr>
        <w:trPr/>
        <w:tc>
          <w:tcPr>
            <w:tcW w:w="14403" w:type="dxa"/>
            <w:gridSpan w:val="2"/>
            <w:tcBorders/>
            <w:shd w:color="auto" w:fill="DEEAF6" w:themeFill="accent5" w:themeFillTint="33" w:val="clear"/>
          </w:tcPr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sr-RS"/>
              </w:rPr>
              <w:t>Мера у којој су предложене пројектне активности подесне да остваре јавни интерес у области јавног информисања</w:t>
            </w:r>
          </w:p>
        </w:tc>
      </w:tr>
      <w:tr>
        <w:trPr/>
        <w:tc>
          <w:tcPr>
            <w:tcW w:w="9895" w:type="dxa"/>
            <w:tcBorders/>
            <w:shd w:color="auto" w:fill="DEEAF6" w:themeFill="accent5" w:themeFillTint="33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sr-RS"/>
              </w:rPr>
              <w:t>Релевантност пројекта са становишта:</w:t>
            </w:r>
          </w:p>
        </w:tc>
        <w:tc>
          <w:tcPr>
            <w:tcW w:w="4508" w:type="dxa"/>
            <w:tcBorders/>
            <w:shd w:color="auto" w:fill="DEEAF6" w:themeFill="accent5" w:themeFillTint="33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Број бодова: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sr-RS"/>
              </w:rPr>
              <w:t xml:space="preserve">0 </w:t>
            </w: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 xml:space="preserve">- није релевантан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sr-RS"/>
              </w:rPr>
              <w:t>4</w:t>
            </w: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 xml:space="preserve"> - делимично је релевантан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sr-RS"/>
              </w:rPr>
              <w:t xml:space="preserve">7 </w:t>
            </w: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- углавном је релевантан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sr-RS"/>
              </w:rPr>
              <w:t>10</w:t>
            </w: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 xml:space="preserve"> - у потпуности је релевантан</w:t>
            </w:r>
          </w:p>
        </w:tc>
      </w:tr>
      <w:tr>
        <w:trPr>
          <w:trHeight w:val="1151" w:hRule="atLeast"/>
        </w:trPr>
        <w:tc>
          <w:tcPr>
            <w:tcW w:w="98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 xml:space="preserve">остваривања јавног интереса у области јавног информисања; 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остваривање намене конкурса;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 xml:space="preserve">усклађености пројекта са реалним проблемима, потребама и приоритетима циљних група;  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усклађености планираних активности са циљевима и очекиваним резултатима пројекта;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sr-RS"/>
                <w14:ligatures w14:val="non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изводљивости плана реализације пројекта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sr-RS"/>
                <w14:ligatures w14:val="none"/>
              </w:rPr>
              <w:t>.</w:t>
            </w:r>
          </w:p>
        </w:tc>
        <w:tc>
          <w:tcPr>
            <w:tcW w:w="4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 xml:space="preserve">Оцена: </w:t>
            </w:r>
          </w:p>
        </w:tc>
      </w:tr>
      <w:tr>
        <w:trPr/>
        <w:tc>
          <w:tcPr>
            <w:tcW w:w="9895" w:type="dxa"/>
            <w:tcBorders/>
            <w:shd w:color="auto" w:fill="DEEAF6" w:themeFill="accent5" w:themeFillTint="33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sr-RS"/>
              </w:rPr>
              <w:t>Изводљивост пројекта са становишта:</w:t>
            </w:r>
          </w:p>
        </w:tc>
        <w:tc>
          <w:tcPr>
            <w:tcW w:w="4508" w:type="dxa"/>
            <w:tcBorders/>
            <w:shd w:color="auto" w:fill="DEEAF6" w:themeFill="accent5" w:themeFillTint="33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sr-R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sr-RS"/>
              </w:rPr>
              <w:t>0</w:t>
            </w: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 xml:space="preserve"> - није изводљив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sr-R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sr-RS"/>
              </w:rPr>
              <w:t>7</w:t>
            </w: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- делимично је изводљив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sr-RS"/>
              </w:rPr>
              <w:t xml:space="preserve">15 </w:t>
            </w: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- углавном је изводљив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sr-RS"/>
              </w:rPr>
              <w:t>20</w:t>
            </w: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- у потпуности је изводљив</w:t>
            </w:r>
          </w:p>
        </w:tc>
      </w:tr>
      <w:tr>
        <w:trPr/>
        <w:tc>
          <w:tcPr>
            <w:tcW w:w="989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усклађености садржаја са задатим циљевима;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ауторског приступа и новинарске иницијативе;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иновативног елемента у пројекту;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дефинисања жанра;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прецизирања трајања појединачних медијских садржаја;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одређивања формата;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заступљености истраживачког приступа;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одређивања тема појединачних медијских садржаја;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дефинисања кључних саговорника;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прилагођености садржаја особама са сензорним инвалидитетом.</w:t>
            </w:r>
          </w:p>
        </w:tc>
        <w:tc>
          <w:tcPr>
            <w:tcW w:w="4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Оцена:</w:t>
            </w:r>
          </w:p>
        </w:tc>
      </w:tr>
      <w:tr>
        <w:trPr/>
        <w:tc>
          <w:tcPr>
            <w:tcW w:w="9895" w:type="dxa"/>
            <w:tcBorders/>
            <w:shd w:color="auto" w:fill="DEEAF6" w:themeFill="accent5" w:themeFillTint="33" w:val="clear"/>
          </w:tcPr>
          <w:p>
            <w:pPr>
              <w:pStyle w:val="Normal"/>
              <w:spacing w:lineRule="auto" w:line="240" w:before="0" w:after="0"/>
              <w:ind w:left="720" w:hanging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highlight w:val="white"/>
                <w:lang w:val="sr-RS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shd w:fill="FFFFFF" w:val="clear"/>
                <w:lang w:val="sr-RS"/>
                <w14:ligatures w14:val="none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sz w:val="20"/>
                <w:szCs w:val="20"/>
                <w:highlight w:val="white"/>
                <w:lang w:val="sr-RS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0"/>
                <w:szCs w:val="20"/>
                <w:lang w:val="sr-RS"/>
                <w14:ligatures w14:val="none"/>
              </w:rPr>
              <w:t>Праћење реализације пројекта са становишта: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</w:r>
          </w:p>
        </w:tc>
        <w:tc>
          <w:tcPr>
            <w:tcW w:w="4508" w:type="dxa"/>
            <w:tcBorders/>
            <w:shd w:color="auto" w:fill="DEEAF6" w:themeFill="accent5" w:themeFillTint="33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sr-RS"/>
              </w:rPr>
              <w:t xml:space="preserve">0 </w:t>
            </w: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- није могуће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sr-R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sr-RS"/>
              </w:rPr>
              <w:t>4</w:t>
            </w: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 xml:space="preserve"> - делимично је могуће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sr-R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sr-RS"/>
              </w:rPr>
              <w:t>7</w:t>
            </w: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 xml:space="preserve"> - углавном је могуће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sr-RS"/>
              </w:rPr>
              <w:t>10</w:t>
            </w: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 xml:space="preserve"> - у потпуности је могуће</w:t>
            </w:r>
          </w:p>
        </w:tc>
      </w:tr>
      <w:tr>
        <w:trPr/>
        <w:tc>
          <w:tcPr>
            <w:tcW w:w="989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дефинисања очекиваних резултата;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мерљивости индикатора;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одрживости пројекта;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планирања интерног мониторинга и евалуације;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препознавања потешкоћа које се могу јавити у току реализације и предлагање мера за њихово отклањање.</w:t>
            </w:r>
          </w:p>
        </w:tc>
        <w:tc>
          <w:tcPr>
            <w:tcW w:w="4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Оцена:</w:t>
            </w:r>
          </w:p>
        </w:tc>
      </w:tr>
      <w:tr>
        <w:trPr/>
        <w:tc>
          <w:tcPr>
            <w:tcW w:w="9895" w:type="dxa"/>
            <w:tcBorders/>
            <w:shd w:color="auto" w:fill="DEEAF6" w:themeFill="accent5" w:themeFillTint="33" w:val="clear"/>
          </w:tcPr>
          <w:p>
            <w:pPr>
              <w:pStyle w:val="ListParagraph"/>
              <w:spacing w:lineRule="auto" w:line="240" w:before="0" w:after="0"/>
              <w:ind w:left="1440" w:hanging="0"/>
              <w:contextualSpacing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sr-RS"/>
              </w:rPr>
              <w:t>Капацитети предлагача пројекта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</w:r>
          </w:p>
        </w:tc>
        <w:tc>
          <w:tcPr>
            <w:tcW w:w="4508" w:type="dxa"/>
            <w:tcBorders/>
            <w:shd w:color="auto" w:fill="DEEAF6" w:themeFill="accent5" w:themeFillTint="33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 xml:space="preserve">Бодује се на основу података из пријаве </w:t>
            </w:r>
          </w:p>
        </w:tc>
      </w:tr>
      <w:tr>
        <w:trPr>
          <w:trHeight w:val="256" w:hRule="atLeast"/>
        </w:trPr>
        <w:tc>
          <w:tcPr>
            <w:tcW w:w="989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дужина обављања делатности (број година);</w:t>
            </w:r>
          </w:p>
        </w:tc>
        <w:tc>
          <w:tcPr>
            <w:tcW w:w="4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sr-RS"/>
              </w:rPr>
              <w:t>0</w:t>
            </w: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 xml:space="preserve"> - (краће од 1 године)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sr-RS"/>
              </w:rPr>
              <w:t xml:space="preserve">1 </w:t>
            </w: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- (од 1 до 3 године)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sr-RS"/>
              </w:rPr>
              <w:t>2</w:t>
            </w: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 xml:space="preserve"> - (од 3 до 5 година)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sr-RS"/>
              </w:rPr>
              <w:t>3</w:t>
            </w: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 xml:space="preserve"> - (од 5 до 10 година)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sr-RS"/>
              </w:rPr>
              <w:t>4</w:t>
            </w: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- (дуже од 10 година)</w:t>
            </w:r>
          </w:p>
        </w:tc>
      </w:tr>
      <w:tr>
        <w:trPr>
          <w:trHeight w:val="253" w:hRule="atLeast"/>
        </w:trPr>
        <w:tc>
          <w:tcPr>
            <w:tcW w:w="989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просечан број запослених и радно ангажованих код подносиоца пројекта (подносилац наведени податак доказује изводима из појединачне пореске пријаве за порез и доприносе по одбитку (ППП ПД1) за период  јануар - новембар претходне године, које доставља као пратећу документацију). Податак ће се израчунавати као просечан број запослених и радно ангажованих лица у наведеном периоду.</w:t>
            </w:r>
          </w:p>
        </w:tc>
        <w:tc>
          <w:tcPr>
            <w:tcW w:w="4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sr-RS"/>
              </w:rPr>
              <w:t>0</w:t>
            </w: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 xml:space="preserve"> - (без запослених)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sr-RS"/>
              </w:rPr>
              <w:t xml:space="preserve">1 </w:t>
            </w: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- (од 1 до 3 запослена)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sr-RS"/>
              </w:rPr>
              <w:t xml:space="preserve">2 </w:t>
            </w: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- (од 4 до 6 запослених)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sr-RS"/>
              </w:rPr>
              <w:t>3</w:t>
            </w: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 xml:space="preserve"> - (од 7до 10 запослених)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sr-RS"/>
              </w:rPr>
              <w:t xml:space="preserve">4 </w:t>
            </w: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- (више од 10 запослених)</w:t>
            </w:r>
          </w:p>
        </w:tc>
      </w:tr>
      <w:tr>
        <w:trPr>
          <w:trHeight w:val="253" w:hRule="atLeast"/>
        </w:trPr>
        <w:tc>
          <w:tcPr>
            <w:tcW w:w="989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поседовање опреме и других техничких средства за реализацију пројекта;</w:t>
            </w:r>
          </w:p>
          <w:p>
            <w:pPr>
              <w:pStyle w:val="Normal"/>
              <w:spacing w:lineRule="auto" w:line="240" w:before="0" w:after="0"/>
              <w:ind w:left="720" w:hanging="0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</w:r>
          </w:p>
        </w:tc>
        <w:tc>
          <w:tcPr>
            <w:tcW w:w="4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sr-RS"/>
              </w:rPr>
              <w:t xml:space="preserve">0 </w:t>
            </w: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- не поседује (потребно је изнајмљивање)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sr-RS"/>
              </w:rPr>
              <w:t xml:space="preserve">5 </w:t>
            </w: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- поседује (није потребно изнајмљивање)</w:t>
            </w:r>
          </w:p>
        </w:tc>
      </w:tr>
      <w:tr>
        <w:trPr>
          <w:trHeight w:val="253" w:hRule="atLeast"/>
        </w:trPr>
        <w:tc>
          <w:tcPr>
            <w:tcW w:w="989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континуитет у информисању циљне групе којој је пројекат намењен;</w:t>
            </w:r>
          </w:p>
          <w:p>
            <w:pPr>
              <w:pStyle w:val="Normal"/>
              <w:spacing w:lineRule="auto" w:line="240" w:before="0" w:after="0"/>
              <w:ind w:left="720" w:hanging="0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(да ли је подносилац у претходних годину дана произвео садржај за циљну групу којој је пројекат намењен)</w:t>
            </w:r>
          </w:p>
        </w:tc>
        <w:tc>
          <w:tcPr>
            <w:tcW w:w="4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sr-RS"/>
              </w:rPr>
              <w:t xml:space="preserve">0 - </w:t>
            </w: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Не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sr-RS"/>
              </w:rPr>
              <w:t>2</w:t>
            </w: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 xml:space="preserve"> - Да </w:t>
            </w:r>
          </w:p>
        </w:tc>
      </w:tr>
      <w:tr>
        <w:trPr>
          <w:trHeight w:val="238" w:hRule="atLeast"/>
        </w:trPr>
        <w:tc>
          <w:tcPr>
            <w:tcW w:w="989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719" w:leader="none"/>
              </w:tabs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Укупна оцена капацитета предлагача</w:t>
            </w:r>
          </w:p>
        </w:tc>
        <w:tc>
          <w:tcPr>
            <w:tcW w:w="4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sr-RS"/>
              </w:rPr>
              <w:t xml:space="preserve"> </w:t>
            </w:r>
          </w:p>
        </w:tc>
      </w:tr>
      <w:tr>
        <w:trPr/>
        <w:tc>
          <w:tcPr>
            <w:tcW w:w="9895" w:type="dxa"/>
            <w:tcBorders/>
            <w:shd w:color="auto" w:fill="DEEAF6" w:themeFill="accent5" w:themeFillTint="33" w:val="clear"/>
          </w:tcPr>
          <w:p>
            <w:pPr>
              <w:pStyle w:val="ListParagraph"/>
              <w:spacing w:lineRule="auto" w:line="240" w:before="0" w:after="0"/>
              <w:ind w:left="1440" w:hanging="0"/>
              <w:contextualSpacing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sr-RS"/>
              </w:rPr>
              <w:t>Доступност садржаја циљној групи са становишта</w:t>
            </w:r>
          </w:p>
        </w:tc>
        <w:tc>
          <w:tcPr>
            <w:tcW w:w="4508" w:type="dxa"/>
            <w:tcBorders/>
            <w:shd w:color="auto" w:fill="DEEAF6" w:themeFill="accent5" w:themeFillTint="33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sr-R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sr-RS"/>
              </w:rPr>
              <w:t>0</w:t>
            </w: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 xml:space="preserve"> - није доступан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sr-R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sr-RS"/>
              </w:rPr>
              <w:t>4</w:t>
            </w: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 xml:space="preserve"> - делимично је доступан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sr-R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sr-RS"/>
              </w:rPr>
              <w:t xml:space="preserve">7 </w:t>
            </w: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- углавном је доступан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sr-RS"/>
              </w:rPr>
              <w:t>10</w:t>
            </w: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 xml:space="preserve"> - у потпуности је доступан</w:t>
            </w:r>
          </w:p>
        </w:tc>
      </w:tr>
      <w:tr>
        <w:trPr/>
        <w:tc>
          <w:tcPr>
            <w:tcW w:w="989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6"/>
              </w:numPr>
              <w:tabs>
                <w:tab w:val="clear" w:pos="720"/>
                <w:tab w:val="left" w:pos="571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начина емитовања и дистрибуције (земаљско /кабловско /сателитско /електронска издања) на територији на којој живи циљна група којој је садржај намењен;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20"/>
                <w:tab w:val="left" w:pos="571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подаци о гледаности, слушаности, периодици излажења и просечном тиражу (дневном, недељном или месечном) новина односно броју јединствених посетилаца на порталу, у месецу који претходи расписивању конкурса, на основу релевантних мерења;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20"/>
                <w:tab w:val="left" w:pos="571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континуираног извештавања подносиоца пројекта са територије на којој живи циљна група којој је садржај намењен (на дневном, недељном, месечном или периодичном нивоу);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20"/>
                <w:tab w:val="left" w:pos="571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објављивања садржаја у више медија;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20"/>
                <w:tab w:val="left" w:pos="571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објављивања садржаја на више платформи.</w:t>
            </w:r>
          </w:p>
        </w:tc>
        <w:tc>
          <w:tcPr>
            <w:tcW w:w="4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Оцена:</w:t>
            </w:r>
          </w:p>
        </w:tc>
      </w:tr>
      <w:tr>
        <w:trPr/>
        <w:tc>
          <w:tcPr>
            <w:tcW w:w="9895" w:type="dxa"/>
            <w:tcBorders/>
            <w:shd w:color="auto" w:fill="DEEAF6" w:themeFill="accent5" w:themeFillTint="33" w:val="clear"/>
          </w:tcPr>
          <w:p>
            <w:pPr>
              <w:pStyle w:val="ListParagraph"/>
              <w:spacing w:lineRule="auto" w:line="240" w:before="0" w:after="0"/>
              <w:ind w:left="1440" w:hanging="0"/>
              <w:contextualSpacing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sr-RS"/>
              </w:rPr>
              <w:t xml:space="preserve">Буџет и оправданост трошкова са становишта:                                               </w:t>
            </w:r>
          </w:p>
        </w:tc>
        <w:tc>
          <w:tcPr>
            <w:tcW w:w="4508" w:type="dxa"/>
            <w:tcBorders/>
            <w:shd w:color="auto" w:fill="DEEAF6" w:themeFill="accent5" w:themeFillTint="33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sr-RS"/>
              </w:rPr>
              <w:t xml:space="preserve">0 </w:t>
            </w: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- није оправдан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sr-R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sr-RS"/>
              </w:rPr>
              <w:t>7</w:t>
            </w: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 xml:space="preserve"> - делимично је оправдан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sr-RS"/>
              </w:rPr>
              <w:t>15</w:t>
            </w: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 xml:space="preserve"> - углавном је оправдан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sr-RS"/>
              </w:rPr>
              <w:t>20</w:t>
            </w: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 xml:space="preserve"> - у потпуности је оправдан</w:t>
            </w:r>
          </w:p>
        </w:tc>
      </w:tr>
      <w:tr>
        <w:trPr/>
        <w:tc>
          <w:tcPr>
            <w:tcW w:w="989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20"/>
                <w:tab w:val="left" w:pos="571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прецизности и разрађености буџета пројекта, који показује усклађеност предвиђеног трошка са пројектним активностима;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20"/>
                <w:tab w:val="left" w:pos="571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економске оправданости предлога буџета у односу на циљ и пројектне активности;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20"/>
                <w:tab w:val="left" w:pos="571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усклађености предложених трошкова са тржишним трошковима.</w:t>
            </w:r>
          </w:p>
        </w:tc>
        <w:tc>
          <w:tcPr>
            <w:tcW w:w="4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Оцена:</w:t>
            </w:r>
          </w:p>
        </w:tc>
      </w:tr>
      <w:tr>
        <w:trPr/>
        <w:tc>
          <w:tcPr>
            <w:tcW w:w="9895" w:type="dxa"/>
            <w:tcBorders/>
            <w:shd w:color="auto" w:fill="DEEAF6" w:themeFill="accent5" w:themeFillTint="33" w:val="clear"/>
          </w:tcPr>
          <w:p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  <w:tab w:val="left" w:pos="5719" w:leader="none"/>
              </w:tabs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sr-RS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left" w:pos="5719" w:leader="none"/>
              </w:tabs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sr-RS"/>
              </w:rPr>
              <w:t>Мера у којој се медиј путем кога ће бити реализован пројекат придржава професионалних и етичких стандарда</w:t>
            </w:r>
          </w:p>
        </w:tc>
        <w:tc>
          <w:tcPr>
            <w:tcW w:w="4508" w:type="dxa"/>
            <w:tcBorders/>
            <w:shd w:color="auto" w:fill="DEEAF6" w:themeFill="accent5" w:themeFillTint="33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sr-R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sr-RS"/>
              </w:rPr>
              <w:t>0</w:t>
            </w: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 xml:space="preserve"> - изречена мера није објављена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sr-RS"/>
              </w:rPr>
              <w:t xml:space="preserve">5 </w:t>
            </w: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- изречено више мера које су објављене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sr-RS"/>
              </w:rPr>
              <w:t xml:space="preserve">10 </w:t>
            </w: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- изречена мера објављена и није поновљена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sr-RS"/>
              </w:rPr>
              <w:t>15</w:t>
            </w: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 xml:space="preserve"> - није изречена мера</w:t>
            </w:r>
          </w:p>
        </w:tc>
      </w:tr>
      <w:tr>
        <w:trPr/>
        <w:tc>
          <w:tcPr>
            <w:tcW w:w="98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  <w:tab w:val="left" w:pos="5719" w:leader="none"/>
              </w:tabs>
              <w:spacing w:lineRule="auto" w:line="240" w:before="0" w:after="0"/>
              <w:contextualSpacing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да ли су медију путем којег ће бити реализован пројекат изречене мере од стране државних органа, Регулаторниог тела за електронске медије или Савета за штампу, у последњих годину дана, због кршења професионалних и етичких стандарда;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  <w:tab w:val="left" w:pos="5719" w:leader="none"/>
              </w:tabs>
              <w:spacing w:lineRule="auto" w:line="240" w:before="0" w:after="0"/>
              <w:contextualSpacing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тежина прекршаја и учесталост понављања.</w:t>
            </w:r>
          </w:p>
        </w:tc>
        <w:tc>
          <w:tcPr>
            <w:tcW w:w="4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</w:r>
          </w:p>
        </w:tc>
      </w:tr>
      <w:tr>
        <w:trPr>
          <w:trHeight w:val="206" w:hRule="atLeast"/>
        </w:trPr>
        <w:tc>
          <w:tcPr>
            <w:tcW w:w="989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719" w:leader="none"/>
              </w:tabs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sr-RS"/>
              </w:rPr>
              <w:t>УКУПАН БРОЈ БОДОВА</w:t>
            </w:r>
          </w:p>
          <w:p>
            <w:pPr>
              <w:pStyle w:val="Normal"/>
              <w:tabs>
                <w:tab w:val="clear" w:pos="720"/>
                <w:tab w:val="left" w:pos="5719" w:leader="none"/>
              </w:tabs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sr-RS"/>
              </w:rPr>
            </w:r>
          </w:p>
        </w:tc>
        <w:tc>
          <w:tcPr>
            <w:tcW w:w="4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headerReference w:type="default" r:id="rId2"/>
      <w:type w:val="nextPage"/>
      <w:pgSz w:orient="landscape" w:w="15840" w:h="12240"/>
      <w:pgMar w:left="720" w:right="720" w:header="153" w:top="210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lang w:val="sr-RS"/>
      </w:rPr>
    </w:pPr>
    <w:r>
      <w:rPr>
        <w:lang w:val="sr-R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lang w:val="sr-RS"/>
      </w:rPr>
      <w:t>Образац 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en-US" w:eastAsia="en-US" w:bidi="ar-SA"/>
        <w14:ligatures w14:val="standardContextual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315b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en-US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TextChar" w:customStyle="1">
    <w:name w:val="Footnote Text Char"/>
    <w:basedOn w:val="DefaultParagraphFont"/>
    <w:link w:val="FootnoteText"/>
    <w:uiPriority w:val="99"/>
    <w:qFormat/>
    <w:rsid w:val="00dc3d60"/>
    <w:rPr>
      <w:rFonts w:eastAsia="" w:cs="Times New Roman" w:eastAsiaTheme="minorEastAsia"/>
      <w:kern w:val="0"/>
      <w:sz w:val="20"/>
      <w:szCs w:val="20"/>
      <w14:ligatures w14:val="none"/>
    </w:rPr>
  </w:style>
  <w:style w:type="character" w:styleId="SubtleEmphasis">
    <w:name w:val="Subtle Emphasis"/>
    <w:basedOn w:val="DefaultParagraphFont"/>
    <w:uiPriority w:val="19"/>
    <w:qFormat/>
    <w:rsid w:val="00dc3d60"/>
    <w:rPr>
      <w:i/>
      <w:iCs/>
    </w:rPr>
  </w:style>
  <w:style w:type="character" w:styleId="HeaderChar" w:customStyle="1">
    <w:name w:val="Header Char"/>
    <w:basedOn w:val="DefaultParagraphFont"/>
    <w:link w:val="Header"/>
    <w:uiPriority w:val="99"/>
    <w:qFormat/>
    <w:rsid w:val="00f53604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f53604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DecimalAligned" w:customStyle="1">
    <w:name w:val="Decimal Aligned"/>
    <w:basedOn w:val="Normal"/>
    <w:uiPriority w:val="40"/>
    <w:qFormat/>
    <w:rsid w:val="00dc3d60"/>
    <w:pPr>
      <w:tabs>
        <w:tab w:val="clear" w:pos="720"/>
        <w:tab w:val="decimal" w:pos="360" w:leader="none"/>
      </w:tabs>
      <w:spacing w:lineRule="auto" w:line="276" w:before="0" w:after="200"/>
    </w:pPr>
    <w:rPr>
      <w:rFonts w:eastAsia="" w:cs="Times New Roman" w:eastAsiaTheme="minorEastAsia"/>
      <w:kern w:val="0"/>
      <w14:ligatures w14:val="none"/>
    </w:rPr>
  </w:style>
  <w:style w:type="paragraph" w:styleId="Footnote">
    <w:name w:val="Footnote Text"/>
    <w:basedOn w:val="Normal"/>
    <w:link w:val="FootnoteTextChar"/>
    <w:uiPriority w:val="99"/>
    <w:unhideWhenUsed/>
    <w:rsid w:val="00dc3d60"/>
    <w:pPr>
      <w:spacing w:lineRule="auto" w:line="240" w:before="0" w:after="0"/>
    </w:pPr>
    <w:rPr>
      <w:rFonts w:eastAsia="" w:cs="Times New Roman" w:eastAsiaTheme="minorEastAsia"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6f4c13"/>
    <w:pPr>
      <w:spacing w:before="0" w:after="16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f53604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f53604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e1b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LightList">
    <w:name w:val="Light List"/>
    <w:basedOn w:val="TableNormal"/>
    <w:uiPriority w:val="61"/>
    <w:rsid w:val="00dc3d6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3">
    <w:name w:val="Light List Accent 3"/>
    <w:basedOn w:val="TableNormal"/>
    <w:uiPriority w:val="61"/>
    <w:rsid w:val="00dc3d6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</w:style>
  <w:style w:type="table" w:styleId="LightShading-Accent1">
    <w:name w:val="Light Shading Accent 1"/>
    <w:basedOn w:val="TableNormal"/>
    <w:uiPriority w:val="60"/>
    <w:rsid w:val="00dc3d60"/>
    <w:pPr>
      <w:spacing w:after="0" w:line="240" w:lineRule="auto"/>
    </w:pPr>
    <w:rPr>
      <w:rFonts w:eastAsiaTheme="minorEastAsia"/>
      <w:color w:val="2F5496" w:themeColor="accent1" w:themeShade="bf"/>
    </w:rPr>
    <w:tblPr>
      <w:tblStyleRowBandSize w:val="1"/>
      <w:tblStyleColBandSize w:val="1"/>
      <w:tblBorders>
        <w:top w:val="single" w:color="4472C4" w:themeColor="accent1" w:sz="8" w:space="0"/>
        <w:bottom w:val="single" w:color="4472C4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themeColor="accent1" w:sz="8" w:space="0"/>
          <w:left w:val="nil"/>
          <w:bottom w:val="single" w:color="4472C4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themeColor="accent1" w:sz="8" w:space="0"/>
          <w:left w:val="nil"/>
          <w:bottom w:val="single" w:color="4472C4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dc3d6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472C4" w:themeColor="accent1" w:sz="8" w:space="0"/>
        <w:left w:val="single" w:color="4472C4" w:themeColor="accent1" w:sz="8" w:space="0"/>
        <w:bottom w:val="single" w:color="4472C4" w:themeColor="accent1" w:sz="8" w:space="0"/>
        <w:right w:val="single" w:color="4472C4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472C4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472C4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472C4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472C4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FF5CD-EA95-4BB2-81BF-FB860E05F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LibreOffice/6.3.4.2$Windows_X86_64 LibreOffice_project/60da17e045e08f1793c57c00ba83cdfce946d0aa</Application>
  <Pages>2</Pages>
  <Words>700</Words>
  <Characters>3885</Characters>
  <CharactersWithSpaces>4778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2023-12-15T14:28:00Z</dcterms:created>
  <dc:creator>Borka Rajsic</dc:creator>
  <dc:description/>
  <dc:language>sr-Latn-RS</dc:language>
  <cp:lastModifiedBy>Dragica Blagojevic</cp:lastModifiedBy>
  <cp:lastPrinted>2023-12-11T10:02:00Z</cp:lastPrinted>
  <dcterms:modified xsi:type="dcterms:W3CDTF">2024-01-12T11:35:00Z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