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 2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29.03.2024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БОРАЧКО-ИНВАЛИДСК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>E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борачко-инвалидск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2024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12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.000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циљев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из других извора: сопствених прихода, буџета Републике Србије,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ListParagraph"/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lang w:val="sr-Latn-RS"/>
        </w:rPr>
      </w:pPr>
      <w:r>
        <w:rPr>
          <w:lang w:val="sr-Latn-RS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8"/>
        <w:gridCol w:w="4600"/>
        <w:gridCol w:w="3509"/>
      </w:tblGrid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р.б.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КРИТЕРИЈУМ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ПОЕНА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Капацитети удружења за управљање и реализацију 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корисника програма/пројекта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Могућност развијања програма/пројекта и његова одрживост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Усклађеност планираних активности са циљевима и очекиваним резултатима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Економска оправданост предлога буџета у односу на планиране активности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0-20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6.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Суфинансирање програма/пројеката из других извора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7.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Промоција пројекта, односно начин информисања циљне групе и шире јавности о предложеном програму/пројекту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en-US"/>
              </w:rPr>
            </w:pPr>
            <w:r>
              <w:rPr>
                <w:lang w:val="sr-R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Законитост и ефикасност коришћења средстава у претходној години (ако су раније коришћена средства из буџета)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5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УКУПНО: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0-100</w:t>
            </w:r>
          </w:p>
        </w:tc>
      </w:tr>
    </w:tbl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Обавезна пратећа документација: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1. Статут удружења (ако исти није објављен на АПР);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</w:t>
      </w:r>
      <w:r>
        <w:rPr>
          <w:rFonts w:ascii="Times New Roman" w:hAnsi="Times New Roman"/>
          <w:lang w:val="sr-RS"/>
        </w:rPr>
        <w:t>2. Изјаву да средства за реализацију програма/пројеката нису на други начин већ     обезбеђена (поитписана и оверена);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3. Изјаву о непостојању сукоба интереса (оверена и потписана);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4. Интерни акт о антикорупцијској политици (Етички кодекс организације, удружења)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Конкурсна документација се може преузети са званичне интернет странице надлежног органа – </w:t>
      </w:r>
      <w:r>
        <w:rPr>
          <w:rStyle w:val="InternetLink"/>
          <w:rFonts w:ascii="Times New Roman" w:hAnsi="Times New Roman"/>
          <w:lang w:val="sr-Latn-RS"/>
        </w:rPr>
        <w:t>www.cicevac.rs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борачко-инвалидск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15.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04.2024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 xml:space="preserve">Бр. 454- </w:t>
      </w:r>
      <w:r>
        <w:rPr>
          <w:rFonts w:cs="Times New Roman" w:ascii="Times New Roman" w:hAnsi="Times New Roman"/>
          <w:b w:val="false"/>
          <w:bCs w:val="false"/>
          <w:lang w:val="sr-RS"/>
        </w:rPr>
        <w:t>15</w:t>
      </w:r>
      <w:r>
        <w:rPr>
          <w:rFonts w:cs="Times New Roman" w:ascii="Times New Roman" w:hAnsi="Times New Roman"/>
          <w:b w:val="false"/>
          <w:bCs w:val="false"/>
        </w:rPr>
        <w:t>/2</w:t>
      </w:r>
      <w:r>
        <w:rPr>
          <w:rFonts w:cs="Times New Roman" w:ascii="Times New Roman" w:hAnsi="Times New Roman"/>
          <w:b w:val="false"/>
          <w:bCs w:val="false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29</w:t>
      </w:r>
      <w:r>
        <w:rPr>
          <w:rFonts w:cs="Times New Roman" w:ascii="Times New Roman" w:hAnsi="Times New Roman"/>
          <w:b w:val="false"/>
          <w:bCs w:val="false"/>
          <w:lang w:val="en-US"/>
        </w:rPr>
        <w:t>.03.2024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________________________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LibreOffice/7.3.0.3$Windows_X86_64 LibreOffice_project/0f246aa12d0eee4a0f7adcefbf7c878fc2238db3</Application>
  <AppVersion>15.0000</AppVersion>
  <Pages>4</Pages>
  <Words>998</Words>
  <Characters>6164</Characters>
  <CharactersWithSpaces>7122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2024-03-29T13:04:13Z</cp:lastPrinted>
  <dcterms:modified xsi:type="dcterms:W3CDTF">2024-03-29T13:04:03Z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