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2023.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 и 2/23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.05.2023.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ДРУГИ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ЗАШТИТЕ ЖИВОТНЕ СРЕДИНЕ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заштите животне средине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40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15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бодова за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до 20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до 20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Статут удружења (ако исти није објављен на АПР).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заштите животне средине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25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05.202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 454- 18/2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lang w:val="en-US"/>
        </w:rPr>
        <w:t>09.0</w:t>
      </w:r>
      <w:r>
        <w:rPr>
          <w:rFonts w:cs="Times New Roman" w:ascii="Times New Roman" w:hAnsi="Times New Roman"/>
          <w:b w:val="false"/>
          <w:bCs w:val="false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lang w:val="en-US"/>
        </w:rPr>
        <w:t>.202</w:t>
      </w:r>
      <w:r>
        <w:rPr>
          <w:rFonts w:cs="Times New Roman" w:ascii="Times New Roman" w:hAnsi="Times New Roman"/>
          <w:b w:val="false"/>
          <w:bCs w:val="false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LibreOffice/7.3.0.3$Windows_X86_64 LibreOffice_project/0f246aa12d0eee4a0f7adcefbf7c878fc2238db3</Application>
  <AppVersion>15.0000</AppVersion>
  <Pages>3</Pages>
  <Words>891</Words>
  <Characters>5314</Characters>
  <CharactersWithSpaces>6179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2023-05-05T10:28:45Z</cp:lastPrinted>
  <dcterms:modified xsi:type="dcterms:W3CDTF">2023-05-09T09:42:08Z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