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9"/>
        <w:jc w:val="both"/>
        <w:rPr/>
      </w:pPr>
      <w:r>
        <w:rPr/>
        <w:t>На основу члана 41. став 1.  Закон о запошљавању и осигурању за случај незапослености („Службени гласник РС”, бр. 36/09, 88/10,  38/15 и 113/17- др. закон)</w:t>
      </w:r>
      <w:r>
        <w:rPr>
          <w:lang w:val="en-US"/>
        </w:rPr>
        <w:t xml:space="preserve"> </w:t>
      </w:r>
      <w:r>
        <w:rPr/>
        <w:t xml:space="preserve">и члана </w:t>
      </w:r>
      <w:r>
        <w:rPr>
          <w:color w:val="000000"/>
          <w:lang w:val="en-US"/>
        </w:rPr>
        <w:t>40</w:t>
      </w:r>
      <w:r>
        <w:rPr>
          <w:color w:val="000000"/>
        </w:rPr>
        <w:t>.</w:t>
      </w:r>
      <w:r>
        <w:rPr/>
        <w:t xml:space="preserve"> Статута општине Ћићевац (''Службени лист општине Ћићевац'', број </w:t>
      </w:r>
      <w:r>
        <w:rPr>
          <w:lang w:val="en-US"/>
        </w:rPr>
        <w:t>17/13 – пречи</w:t>
      </w:r>
      <w:r>
        <w:rPr/>
        <w:t>ш</w:t>
      </w:r>
      <w:r>
        <w:rPr>
          <w:lang w:val="en-US"/>
        </w:rPr>
        <w:t xml:space="preserve">ћени </w:t>
      </w:r>
      <w:r>
        <w:rPr/>
        <w:t xml:space="preserve">текст, 22/13 и 10/15 </w:t>
      </w:r>
      <w:r>
        <w:rPr>
          <w:lang w:val="sr-RS"/>
        </w:rPr>
        <w:t>и 3/19</w:t>
      </w:r>
      <w:r>
        <w:rPr/>
        <w:t xml:space="preserve">), уз прибављено мишљење Локалног савета за запошљавање број </w:t>
      </w:r>
      <w:r>
        <w:rPr>
          <w:color w:val="000000"/>
        </w:rPr>
        <w:t>06-</w:t>
      </w:r>
      <w:r>
        <w:rPr>
          <w:color w:val="000000"/>
          <w:lang w:val="sr-Latn-RS"/>
        </w:rPr>
        <w:t>03</w:t>
      </w:r>
      <w:r>
        <w:rPr>
          <w:color w:val="000000"/>
        </w:rPr>
        <w:t>/</w:t>
      </w:r>
      <w:r>
        <w:rPr>
          <w:color w:val="000000"/>
          <w:lang w:val="sr-Latn-RS"/>
        </w:rPr>
        <w:t>20</w:t>
      </w:r>
      <w:r>
        <w:rPr>
          <w:color w:val="000000"/>
        </w:rPr>
        <w:t>-01</w:t>
      </w:r>
      <w:r>
        <w:rPr>
          <w:color w:val="000000"/>
        </w:rPr>
        <w:t xml:space="preserve"> од </w:t>
      </w:r>
      <w:r>
        <w:rPr>
          <w:color w:val="000000"/>
          <w:lang w:val="sr-Latn-RS"/>
        </w:rPr>
        <w:t>1</w:t>
      </w:r>
      <w:r>
        <w:rPr>
          <w:color w:val="000000"/>
          <w:lang w:val="sr-Latn-RS"/>
        </w:rPr>
        <w:t>0</w:t>
      </w:r>
      <w:r>
        <w:rPr>
          <w:color w:val="000000"/>
          <w:lang w:val="sr-Latn-RS"/>
        </w:rPr>
        <w:t>.0</w:t>
      </w:r>
      <w:r>
        <w:rPr>
          <w:color w:val="000000"/>
          <w:lang w:val="sr-Latn-RS"/>
        </w:rPr>
        <w:t>1</w:t>
      </w:r>
      <w:r>
        <w:rPr>
          <w:color w:val="000000"/>
          <w:lang w:val="sr-Latn-RS"/>
        </w:rPr>
        <w:t>.20</w:t>
      </w:r>
      <w:r>
        <w:rPr>
          <w:color w:val="000000"/>
          <w:lang w:val="sr-Latn-RS"/>
        </w:rPr>
        <w:t>20</w:t>
      </w:r>
      <w:r>
        <w:rPr>
          <w:color w:val="000000"/>
        </w:rPr>
        <w:t>.</w:t>
      </w:r>
      <w:r>
        <w:rPr/>
        <w:t xml:space="preserve"> године,  Скупштина општине Ћићевац  на </w:t>
      </w:r>
      <w:r>
        <w:rPr>
          <w:lang w:val="en-US"/>
        </w:rPr>
        <w:t xml:space="preserve">____ </w:t>
      </w:r>
      <w:r>
        <w:rPr/>
        <w:t>седници</w:t>
      </w:r>
      <w:r>
        <w:rPr>
          <w:lang w:val="en-US"/>
        </w:rPr>
        <w:t xml:space="preserve"> одржаној _______ године, донела је</w:t>
      </w:r>
    </w:p>
    <w:p>
      <w:pPr>
        <w:pStyle w:val="Normal"/>
        <w:jc w:val="both"/>
        <w:rPr/>
      </w:pPr>
      <w:r>
        <w:rPr/>
        <w:tab/>
      </w:r>
    </w:p>
    <w:p>
      <w:pPr>
        <w:pStyle w:val="Normal"/>
        <w:jc w:val="both"/>
        <w:rPr/>
      </w:pPr>
      <w:r>
        <w:rPr/>
      </w:r>
    </w:p>
    <w:p>
      <w:pPr>
        <w:pStyle w:val="Normal"/>
        <w:jc w:val="center"/>
        <w:rPr>
          <w:b/>
          <w:b/>
        </w:rPr>
      </w:pPr>
      <w:r>
        <w:rPr>
          <w:b/>
        </w:rPr>
        <w:t xml:space="preserve">ЛОКАЛНИ АКЦИОНИ ПЛАН ЗАПОШЉАВАЊА </w:t>
      </w:r>
    </w:p>
    <w:p>
      <w:pPr>
        <w:pStyle w:val="Normal"/>
        <w:jc w:val="center"/>
        <w:rPr/>
      </w:pPr>
      <w:r>
        <w:rPr>
          <w:b/>
        </w:rPr>
        <w:t>ОПШТИНЕ ЋИЋЕВАЦ ЗА 20</w:t>
      </w:r>
      <w:r>
        <w:rPr>
          <w:b/>
          <w:lang w:val="en-US"/>
        </w:rPr>
        <w:t>20</w:t>
      </w:r>
      <w:r>
        <w:rPr>
          <w:b/>
        </w:rPr>
        <w:t>. ГОДИНУ</w:t>
      </w:r>
    </w:p>
    <w:p>
      <w:pPr>
        <w:pStyle w:val="Normal"/>
        <w:jc w:val="center"/>
        <w:rPr>
          <w:b/>
          <w:b/>
        </w:rPr>
      </w:pPr>
      <w:r>
        <w:rPr>
          <w:b/>
        </w:rPr>
      </w:r>
    </w:p>
    <w:p>
      <w:pPr>
        <w:pStyle w:val="Normal"/>
        <w:jc w:val="center"/>
        <w:rPr>
          <w:b/>
          <w:b/>
        </w:rPr>
      </w:pPr>
      <w:r>
        <w:rPr>
          <w:b/>
        </w:rPr>
      </w:r>
    </w:p>
    <w:p>
      <w:pPr>
        <w:pStyle w:val="Normal"/>
        <w:ind w:left="0" w:right="0" w:firstLine="708"/>
        <w:jc w:val="both"/>
        <w:rPr/>
      </w:pPr>
      <w:r>
        <w:rPr>
          <w:b/>
        </w:rPr>
        <w:t xml:space="preserve"> </w:t>
      </w:r>
      <w:r>
        <w:rPr>
          <w:b/>
        </w:rPr>
        <w:t xml:space="preserve">1. ОПШТЕ ИНФОРМАЦИЈЕ </w:t>
      </w:r>
    </w:p>
    <w:p>
      <w:pPr>
        <w:pStyle w:val="Normal"/>
        <w:ind w:left="0" w:right="0" w:firstLine="708"/>
        <w:jc w:val="both"/>
        <w:rPr>
          <w:b/>
          <w:b/>
        </w:rPr>
      </w:pPr>
      <w:r>
        <w:rPr>
          <w:b/>
        </w:rPr>
      </w:r>
    </w:p>
    <w:p>
      <w:pPr>
        <w:pStyle w:val="Normal"/>
        <w:numPr>
          <w:ilvl w:val="1"/>
          <w:numId w:val="3"/>
        </w:numPr>
        <w:jc w:val="both"/>
        <w:rPr/>
      </w:pPr>
      <w:r>
        <w:rPr>
          <w:b/>
          <w:lang w:val="sr-RS"/>
        </w:rPr>
        <w:t>Опште</w:t>
      </w:r>
      <w:r>
        <w:rPr>
          <w:b/>
        </w:rPr>
        <w:t xml:space="preserve"> информације о </w:t>
      </w:r>
      <w:r>
        <w:rPr>
          <w:rFonts w:eastAsia="Arial Unicode MS" w:cs="Times New Roman"/>
          <w:b/>
          <w:color w:val="auto"/>
          <w:kern w:val="2"/>
          <w:sz w:val="24"/>
          <w:szCs w:val="24"/>
          <w:lang w:val="sr-RS" w:eastAsia="en-US" w:bidi="ar-SA"/>
        </w:rPr>
        <w:t>ЛАПЗ</w:t>
      </w:r>
    </w:p>
    <w:p>
      <w:pPr>
        <w:pStyle w:val="Normal"/>
        <w:jc w:val="both"/>
        <w:rPr/>
      </w:pPr>
      <w:r>
        <w:rPr/>
      </w:r>
    </w:p>
    <w:p>
      <w:pPr>
        <w:pStyle w:val="Normal"/>
        <w:ind w:left="0" w:right="0" w:firstLine="708"/>
        <w:jc w:val="both"/>
        <w:rPr/>
      </w:pPr>
      <w:r>
        <w:rPr/>
        <w:t>Локалним акционим планом запошљавања општине Ћићевац за 20</w:t>
      </w:r>
      <w:r>
        <w:rPr>
          <w:lang w:val="en-US"/>
        </w:rPr>
        <w:t>20</w:t>
      </w:r>
      <w:r>
        <w:rPr/>
        <w:t>. годину (у даљем тексту: ЛАПЗ) утврђују се приоритети и мере за унапређење запослености и смањење незапослености на територији општине Ћићевац. ЛАПЗ представља основни инструмент спровођења активне политике запошљавања у 20</w:t>
      </w:r>
      <w:r>
        <w:rPr>
          <w:lang w:val="en-US"/>
        </w:rPr>
        <w:t>20</w:t>
      </w:r>
      <w:r>
        <w:rPr/>
        <w:t xml:space="preserve">. години. </w:t>
      </w:r>
      <w:r>
        <w:rPr>
          <w:lang w:val="sr-RS"/>
        </w:rPr>
        <w:t>Њиме су дефинисани циљеи и приоритети, односно утврђени програми и мере политике запошљавања који ће се реализовати у 2020. години на територији општине Ћићевац.</w:t>
      </w:r>
    </w:p>
    <w:p>
      <w:pPr>
        <w:pStyle w:val="Normal"/>
        <w:ind w:left="0" w:right="0" w:firstLine="708"/>
        <w:jc w:val="both"/>
        <w:rPr/>
      </w:pPr>
      <w:r>
        <w:rPr/>
        <w:t xml:space="preserve"> </w:t>
      </w:r>
    </w:p>
    <w:p>
      <w:pPr>
        <w:pStyle w:val="Normal"/>
        <w:ind w:left="0" w:right="0" w:firstLine="708"/>
        <w:jc w:val="both"/>
        <w:rPr/>
      </w:pPr>
      <w:r>
        <w:rPr/>
        <w:t>Предмет ЛАПЗ  је решавање проблема у области запошљавања на територији  локалне заједнице , креирање локалне политике запошљавања и програма и мера активне политике запошљавања у складу са локалним потребама и могућностима.</w:t>
      </w:r>
    </w:p>
    <w:p>
      <w:pPr>
        <w:pStyle w:val="Normal"/>
        <w:ind w:left="0" w:right="0" w:firstLine="708"/>
        <w:jc w:val="both"/>
        <w:rPr/>
      </w:pPr>
      <w:r>
        <w:rPr/>
        <w:t>Правни основ за доношење ЛАПЗ је одредба 41. став 1.  Закон о запошљавању и осигурању за случај незапослености („Службени гласник РС”, бр. 36/09, 88/10, 38/15 и 113/17 – др. закон), којом је утврђено да надлежни орган локалне самоуправе може по прибављеном мишљењу Локалног савета за запошљавање (у даљем тексту: ЛСЗ) усвојити локални акциони план запошљавања.</w:t>
      </w:r>
    </w:p>
    <w:p>
      <w:pPr>
        <w:pStyle w:val="Normal"/>
        <w:ind w:left="0" w:right="0" w:firstLine="708"/>
        <w:jc w:val="both"/>
        <w:rPr/>
      </w:pPr>
      <w:r>
        <w:rPr/>
      </w:r>
    </w:p>
    <w:p>
      <w:pPr>
        <w:pStyle w:val="Normal"/>
        <w:ind w:left="0" w:right="0" w:firstLine="708"/>
        <w:jc w:val="both"/>
        <w:rPr>
          <w:b/>
          <w:b/>
          <w:bCs/>
          <w:lang w:val="sr-RS"/>
        </w:rPr>
      </w:pPr>
      <w:r>
        <w:rPr>
          <w:b/>
          <w:bCs/>
          <w:lang w:val="sr-RS"/>
        </w:rPr>
        <w:t>1.2. Услови за усвајање ЛАПЗ</w:t>
      </w:r>
    </w:p>
    <w:p>
      <w:pPr>
        <w:pStyle w:val="Normal"/>
        <w:ind w:left="0" w:right="0" w:firstLine="708"/>
        <w:jc w:val="both"/>
        <w:rPr>
          <w:b/>
          <w:b/>
          <w:bCs/>
          <w:lang w:val="sr-RS"/>
        </w:rPr>
      </w:pPr>
      <w:r>
        <w:rPr>
          <w:b/>
          <w:bCs/>
          <w:lang w:val="sr-RS"/>
        </w:rPr>
      </w:r>
    </w:p>
    <w:p>
      <w:pPr>
        <w:pStyle w:val="Normal"/>
        <w:ind w:left="0" w:right="0" w:firstLine="720"/>
        <w:jc w:val="both"/>
        <w:rPr/>
      </w:pPr>
      <w:r>
        <w:rPr/>
        <w:t>Услов за одобравање суфинансирања програма или мера активне политике запошљавања је да локална самоуправа има формиран Локални савет за запошљавање, донет Локални акциони план запошљавања, усаглашен ЛАПЗ са НАПЗ, обезбеђена средства за финансирање одређеног програма или мера, и усклађене програме и мере са приоритетима и циљевима локалног економског развоја и локалног тржишта рада.</w:t>
      </w:r>
    </w:p>
    <w:p>
      <w:pPr>
        <w:pStyle w:val="Normal"/>
        <w:ind w:left="0" w:right="0" w:firstLine="720"/>
        <w:jc w:val="both"/>
        <w:rPr/>
      </w:pPr>
      <w:r>
        <w:rPr/>
        <w:t>У дефинисање и израду ЛАПЗ укључени су социјални партнери, поред ЛСЗ, у припреми и изради Акционог плана учествовали су: Општинска управа и Национална служба за запошљавање – Филијала Крушевац.</w:t>
      </w:r>
    </w:p>
    <w:p>
      <w:pPr>
        <w:pStyle w:val="Normal"/>
        <w:ind w:left="0" w:right="0" w:firstLine="720"/>
        <w:jc w:val="both"/>
        <w:rPr/>
      </w:pPr>
      <w:r>
        <w:rPr/>
        <w:t>На ЛАПЗ претходно мишљење дао је ЛСЗ општине Ћићевац.</w:t>
      </w:r>
    </w:p>
    <w:p>
      <w:pPr>
        <w:pStyle w:val="Normal"/>
        <w:ind w:left="0" w:right="0" w:firstLine="720"/>
        <w:jc w:val="both"/>
        <w:rPr/>
      </w:pPr>
      <w:r>
        <w:rPr/>
      </w:r>
    </w:p>
    <w:p>
      <w:pPr>
        <w:pStyle w:val="Normal"/>
        <w:ind w:left="0" w:right="0" w:firstLine="720"/>
        <w:jc w:val="both"/>
        <w:rPr/>
      </w:pPr>
      <w:r>
        <w:rPr/>
      </w:r>
    </w:p>
    <w:p>
      <w:pPr>
        <w:pStyle w:val="Normal"/>
        <w:ind w:left="0" w:right="0" w:firstLine="720"/>
        <w:jc w:val="both"/>
        <w:rPr/>
      </w:pPr>
      <w:r>
        <w:rPr/>
      </w:r>
    </w:p>
    <w:p>
      <w:pPr>
        <w:pStyle w:val="Normal"/>
        <w:ind w:left="0" w:right="0" w:firstLine="720"/>
        <w:jc w:val="both"/>
        <w:rPr/>
      </w:pPr>
      <w:r>
        <w:rPr/>
      </w:r>
    </w:p>
    <w:p>
      <w:pPr>
        <w:pStyle w:val="Normal"/>
        <w:ind w:left="0" w:right="0" w:firstLine="720"/>
        <w:jc w:val="both"/>
        <w:rPr/>
      </w:pPr>
      <w:r>
        <w:rPr/>
      </w:r>
    </w:p>
    <w:p>
      <w:pPr>
        <w:pStyle w:val="Normal"/>
        <w:ind w:left="0" w:right="0" w:firstLine="720"/>
        <w:jc w:val="both"/>
        <w:rPr/>
      </w:pPr>
      <w:r>
        <w:rPr/>
      </w:r>
    </w:p>
    <w:p>
      <w:pPr>
        <w:pStyle w:val="Normal"/>
        <w:ind w:left="0" w:right="0" w:firstLine="720"/>
        <w:jc w:val="both"/>
        <w:rPr/>
      </w:pPr>
      <w:r>
        <w:rPr/>
      </w:r>
    </w:p>
    <w:p>
      <w:pPr>
        <w:pStyle w:val="Normal"/>
        <w:ind w:left="0" w:right="0" w:firstLine="720"/>
        <w:jc w:val="both"/>
        <w:rPr/>
      </w:pPr>
      <w:r>
        <w:rPr/>
      </w:r>
    </w:p>
    <w:p>
      <w:pPr>
        <w:pStyle w:val="Normal"/>
        <w:rPr/>
      </w:pPr>
      <w:r>
        <w:rPr/>
      </w:r>
    </w:p>
    <w:p>
      <w:pPr>
        <w:pStyle w:val="Normal"/>
        <w:numPr>
          <w:ilvl w:val="0"/>
          <w:numId w:val="3"/>
        </w:numPr>
        <w:jc w:val="both"/>
        <w:rPr>
          <w:b/>
          <w:b/>
          <w:lang w:val="en-US"/>
        </w:rPr>
      </w:pPr>
      <w:r>
        <w:rPr>
          <w:b/>
          <w:lang w:val="en-US"/>
        </w:rPr>
        <w:t>ОСНОВНИ ПОДАЦИ О ЈЛС И КЉУЧНИ СОЦИО-ЕКОНОМСКИ ПОКАЗАТЕЉИ</w:t>
      </w:r>
    </w:p>
    <w:p>
      <w:pPr>
        <w:pStyle w:val="Normal"/>
        <w:ind w:left="360" w:right="0" w:hanging="0"/>
        <w:jc w:val="both"/>
        <w:rPr>
          <w:b/>
          <w:b/>
          <w:sz w:val="14"/>
        </w:rPr>
      </w:pPr>
      <w:r>
        <w:rPr>
          <w:b/>
          <w:sz w:val="14"/>
        </w:rPr>
      </w:r>
    </w:p>
    <w:p>
      <w:pPr>
        <w:pStyle w:val="Normal"/>
        <w:numPr>
          <w:ilvl w:val="1"/>
          <w:numId w:val="3"/>
        </w:numPr>
        <w:jc w:val="both"/>
        <w:rPr>
          <w:b/>
          <w:b/>
        </w:rPr>
      </w:pPr>
      <w:r>
        <w:rPr>
          <w:b/>
        </w:rPr>
        <w:t>Основни подаци о ЈЛС</w:t>
      </w:r>
    </w:p>
    <w:p>
      <w:pPr>
        <w:pStyle w:val="Normal"/>
        <w:ind w:left="1068" w:right="0" w:hanging="0"/>
        <w:jc w:val="both"/>
        <w:rPr>
          <w:b/>
          <w:b/>
          <w:sz w:val="12"/>
        </w:rPr>
      </w:pPr>
      <w:r>
        <w:rPr>
          <w:b/>
          <w:sz w:val="12"/>
        </w:rPr>
      </w:r>
    </w:p>
    <w:p>
      <w:pPr>
        <w:pStyle w:val="Normal"/>
        <w:ind w:left="0" w:right="0" w:firstLine="708"/>
        <w:jc w:val="both"/>
        <w:rPr/>
      </w:pPr>
      <w:r>
        <w:rPr/>
        <w:t xml:space="preserve">Општина Ћићевац налази се у централној Србији, Расинском округу,  на раскрсници свих важних саобраћајница, и као таква погодна за развој и  привлачење нових инвестиција.  </w:t>
      </w:r>
    </w:p>
    <w:p>
      <w:pPr>
        <w:pStyle w:val="NormalWeb"/>
        <w:spacing w:before="0" w:after="0"/>
        <w:ind w:left="0" w:right="0" w:firstLine="705"/>
        <w:jc w:val="both"/>
        <w:textAlignment w:val="baseline"/>
        <w:rPr/>
      </w:pPr>
      <w:r>
        <w:rPr/>
        <w:tab/>
        <w:t xml:space="preserve">Ћићевац  је седиште истоимене општине са 10 насељених места, простире се на површини од 124 км </w:t>
      </w:r>
      <w:r>
        <w:rPr>
          <w:vertAlign w:val="superscript"/>
        </w:rPr>
        <w:t xml:space="preserve">2 </w:t>
      </w:r>
      <w:r>
        <w:rPr/>
        <w:t xml:space="preserve"> и 9446 становника. </w:t>
      </w:r>
      <w:r>
        <w:rPr>
          <w:color w:val="2B2B2B"/>
          <w:highlight w:val="white"/>
        </w:rPr>
        <w:t>По насељима: Ћићевац-4894 становника, Сталаћ-1601 становника, Појате-901 становника, Лучина-837 становника, Град Сталаћ-716 становника, Плочник-528 становника, Мрзеница-189 становника, Браљина-77 становника, Трубарево-109 становника, Мојсиње-19 становника. Ако се упореде показатељи са последњег пописа са пописима од 1991. и 2002. године, види се да се број становника значајно смањио. Што се тиче старосне структуре, она је неповољна јер се огледа у све мањем учешћу млађег становништва, што је делом и последица негативног природног прирашатаја али и старења становништва.</w:t>
      </w:r>
    </w:p>
    <w:p>
      <w:pPr>
        <w:pStyle w:val="Normal"/>
        <w:ind w:left="0" w:right="0" w:firstLine="705"/>
        <w:jc w:val="both"/>
        <w:rPr>
          <w:color w:val="2B2B2B"/>
        </w:rPr>
      </w:pPr>
      <w:r>
        <w:rPr>
          <w:color w:val="2B2B2B"/>
        </w:rPr>
        <w:t>Највеће насеље у општини је Ћићевац и то је уједно административни, привредни и културни центар општине.</w:t>
      </w:r>
    </w:p>
    <w:p>
      <w:pPr>
        <w:pStyle w:val="NormalWeb"/>
        <w:spacing w:before="0" w:after="0"/>
        <w:ind w:left="0" w:right="0" w:firstLine="709"/>
        <w:jc w:val="both"/>
        <w:textAlignment w:val="baseline"/>
        <w:rPr/>
      </w:pPr>
      <w:r>
        <w:rPr>
          <w:color w:val="2B2B2B"/>
        </w:rPr>
        <w:t xml:space="preserve">Друго насељено место по величини је Сталаћ, затим Појате, Лучина, Град Сталаћ, Плочник, Мрзеница, Трубарево, Браљина и Мојсиње. </w:t>
      </w:r>
      <w:r>
        <w:rPr/>
        <w:t xml:space="preserve">Окружен је територијама града Крушевца, општине Варварин, Параћин и Ражањ. </w:t>
      </w:r>
    </w:p>
    <w:p>
      <w:pPr>
        <w:pStyle w:val="NormalWeb"/>
        <w:spacing w:before="0" w:after="0"/>
        <w:ind w:left="0" w:right="0" w:firstLine="709"/>
        <w:jc w:val="both"/>
        <w:textAlignment w:val="baseline"/>
        <w:rPr/>
      </w:pPr>
      <w:r>
        <w:rPr/>
        <w:t>Општина располаже богатим културно-историјским наслеђем и значајним природним ресурсима на којима се заснива садашњи, али и будући, економски и туристичики развој општине.</w:t>
      </w:r>
    </w:p>
    <w:p>
      <w:pPr>
        <w:pStyle w:val="NormalWeb"/>
        <w:spacing w:before="0" w:after="0"/>
        <w:ind w:left="0" w:right="0" w:firstLine="709"/>
        <w:jc w:val="both"/>
        <w:textAlignment w:val="baseline"/>
        <w:rPr>
          <w:sz w:val="14"/>
          <w:lang w:val="sr-CS"/>
        </w:rPr>
      </w:pPr>
      <w:r>
        <w:rPr>
          <w:sz w:val="14"/>
          <w:lang w:val="sr-CS"/>
        </w:rPr>
      </w:r>
    </w:p>
    <w:p>
      <w:pPr>
        <w:pStyle w:val="NormalWeb"/>
        <w:numPr>
          <w:ilvl w:val="1"/>
          <w:numId w:val="3"/>
        </w:numPr>
        <w:spacing w:lineRule="atLeast" w:line="360" w:before="0" w:after="0"/>
        <w:jc w:val="both"/>
        <w:textAlignment w:val="baseline"/>
        <w:rPr>
          <w:b/>
          <w:b/>
        </w:rPr>
      </w:pPr>
      <w:r>
        <w:rPr>
          <w:b/>
        </w:rPr>
        <w:t xml:space="preserve">Анализа социо-економског стања у ЈЛС </w:t>
      </w:r>
    </w:p>
    <w:p>
      <w:pPr>
        <w:pStyle w:val="Normal"/>
        <w:rPr>
          <w:sz w:val="10"/>
        </w:rPr>
      </w:pPr>
      <w:r>
        <w:rPr>
          <w:sz w:val="10"/>
        </w:rPr>
      </w:r>
    </w:p>
    <w:p>
      <w:pPr>
        <w:pStyle w:val="Normal"/>
        <w:ind w:left="0" w:right="0" w:firstLine="720"/>
        <w:jc w:val="both"/>
        <w:rPr/>
      </w:pPr>
      <w:r>
        <w:rPr/>
        <w:t xml:space="preserve">У последњих неколико година остварен привредни раст имао је позитиван утицај на кретања на тржишту рада. Међутим, проблеми у области запошљавања и даље постоје. </w:t>
      </w:r>
    </w:p>
    <w:p>
      <w:pPr>
        <w:pStyle w:val="Normal"/>
        <w:ind w:left="0" w:right="0" w:firstLine="720"/>
        <w:jc w:val="both"/>
        <w:rPr/>
      </w:pPr>
      <w:r>
        <w:rPr/>
        <w:t>Значај малих и средњих предузећа огледа се у томе што у доба кризе најлакше опстају јер се најбрже прилагођавају новонасталим условима.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овог сектора, јер је управо он покретач развоја и омогућава смањење незапослености путем отварања нових радних места, повећање броја привредних субјеката.</w:t>
      </w:r>
    </w:p>
    <w:p>
      <w:pPr>
        <w:pStyle w:val="Normal"/>
        <w:ind w:left="0" w:right="0" w:firstLine="709"/>
        <w:jc w:val="both"/>
        <w:rPr/>
      </w:pPr>
      <w:r>
        <w:rPr/>
        <w:t>Данас, најзаступљеније</w:t>
      </w:r>
      <w:r>
        <w:rPr>
          <w:lang w:val="sr-Latn-CS"/>
        </w:rPr>
        <w:t xml:space="preserve"> </w:t>
      </w:r>
      <w:r>
        <w:rPr/>
        <w:t>привредне</w:t>
      </w:r>
      <w:r>
        <w:rPr>
          <w:lang w:val="sr-Latn-CS"/>
        </w:rPr>
        <w:t xml:space="preserve"> </w:t>
      </w:r>
      <w:r>
        <w:rPr/>
        <w:t>гране</w:t>
      </w:r>
      <w:r>
        <w:rPr>
          <w:lang w:val="sr-Latn-CS"/>
        </w:rPr>
        <w:t xml:space="preserve"> </w:t>
      </w:r>
      <w:r>
        <w:rPr/>
        <w:t>у</w:t>
      </w:r>
      <w:r>
        <w:rPr>
          <w:lang w:val="sr-Latn-CS"/>
        </w:rPr>
        <w:t xml:space="preserve"> </w:t>
      </w:r>
      <w:r>
        <w:rPr/>
        <w:t>општини</w:t>
      </w:r>
      <w:r>
        <w:rPr>
          <w:lang w:val="sr-Latn-CS"/>
        </w:rPr>
        <w:t xml:space="preserve"> </w:t>
      </w:r>
      <w:r>
        <w:rPr/>
        <w:t>Ћићевац</w:t>
      </w:r>
      <w:r>
        <w:rPr>
          <w:lang w:val="sr-Latn-CS"/>
        </w:rPr>
        <w:t xml:space="preserve"> </w:t>
      </w:r>
      <w:r>
        <w:rPr/>
        <w:t>су</w:t>
      </w:r>
      <w:r>
        <w:rPr>
          <w:lang w:val="sr-Latn-CS"/>
        </w:rPr>
        <w:t xml:space="preserve">: </w:t>
      </w:r>
      <w:r>
        <w:rPr/>
        <w:t>дрвно-прерађивачка</w:t>
      </w:r>
      <w:r>
        <w:rPr>
          <w:lang w:val="sr-Latn-CS"/>
        </w:rPr>
        <w:t xml:space="preserve"> </w:t>
      </w:r>
      <w:r>
        <w:rPr/>
        <w:t>индустрија</w:t>
      </w:r>
      <w:r>
        <w:rPr>
          <w:lang w:val="sr-Latn-CS"/>
        </w:rPr>
        <w:t xml:space="preserve">, </w:t>
      </w:r>
      <w:r>
        <w:rPr/>
        <w:t>индустрија</w:t>
      </w:r>
      <w:r>
        <w:rPr>
          <w:lang w:val="sr-Latn-CS"/>
        </w:rPr>
        <w:t xml:space="preserve"> </w:t>
      </w:r>
      <w:r>
        <w:rPr/>
        <w:t>грађевинског</w:t>
      </w:r>
      <w:r>
        <w:rPr>
          <w:lang w:val="sr-Latn-CS"/>
        </w:rPr>
        <w:t xml:space="preserve"> </w:t>
      </w:r>
      <w:r>
        <w:rPr/>
        <w:t>материјала</w:t>
      </w:r>
      <w:r>
        <w:rPr>
          <w:lang w:val="sr-Latn-CS"/>
        </w:rPr>
        <w:t xml:space="preserve">, </w:t>
      </w:r>
      <w:r>
        <w:rPr/>
        <w:t>трговина</w:t>
      </w:r>
      <w:r>
        <w:rPr>
          <w:lang w:val="sr-Latn-CS"/>
        </w:rPr>
        <w:t xml:space="preserve">, </w:t>
      </w:r>
      <w:r>
        <w:rPr/>
        <w:t>угоститељство</w:t>
      </w:r>
      <w:r>
        <w:rPr>
          <w:lang w:val="sr-Latn-CS"/>
        </w:rPr>
        <w:t xml:space="preserve">, </w:t>
      </w:r>
      <w:r>
        <w:rPr/>
        <w:t>пољопривреда</w:t>
      </w:r>
      <w:r>
        <w:rPr>
          <w:lang w:val="sr-Latn-CS"/>
        </w:rPr>
        <w:t xml:space="preserve"> </w:t>
      </w:r>
      <w:r>
        <w:rPr/>
        <w:t>и</w:t>
      </w:r>
      <w:r>
        <w:rPr>
          <w:lang w:val="sr-Latn-CS"/>
        </w:rPr>
        <w:t xml:space="preserve"> </w:t>
      </w:r>
      <w:r>
        <w:rPr/>
        <w:t>саобраћај</w:t>
      </w:r>
      <w:r>
        <w:rPr>
          <w:lang w:val="sr-Latn-CS"/>
        </w:rPr>
        <w:t xml:space="preserve">. </w:t>
      </w:r>
      <w:r>
        <w:rPr/>
        <w:t xml:space="preserve">На територији општине је регистровано </w:t>
      </w:r>
      <w:r>
        <w:rPr>
          <w:rFonts w:eastAsia="Arial Unicode MS" w:cs="Times New Roman"/>
          <w:color w:val="auto"/>
          <w:kern w:val="2"/>
          <w:sz w:val="24"/>
          <w:szCs w:val="24"/>
          <w:lang w:val="sr-Latn-RS" w:eastAsia="en-US" w:bidi="ar-SA"/>
        </w:rPr>
        <w:t>84</w:t>
      </w:r>
      <w:r>
        <w:rPr/>
        <w:t xml:space="preserve"> предузећа и 2</w:t>
      </w:r>
      <w:r>
        <w:rPr>
          <w:lang w:val="sr-Latn-RS"/>
        </w:rPr>
        <w:t>47</w:t>
      </w:r>
      <w:r>
        <w:rPr/>
        <w:t xml:space="preserve"> радњи (предузетника). </w:t>
      </w:r>
      <w:r>
        <w:rPr>
          <w:lang w:val="ru-RU"/>
        </w:rPr>
        <w:t>Укупан број запослених је</w:t>
      </w:r>
      <w:r>
        <w:rPr>
          <w:lang w:val="en-US"/>
        </w:rPr>
        <w:t xml:space="preserve"> 1.</w:t>
      </w:r>
      <w:r>
        <w:rPr/>
        <w:t>4</w:t>
      </w:r>
      <w:r>
        <w:rPr>
          <w:rFonts w:eastAsia="Arial Unicode MS" w:cs="Times New Roman"/>
          <w:color w:val="auto"/>
          <w:kern w:val="2"/>
          <w:sz w:val="24"/>
          <w:szCs w:val="24"/>
          <w:lang w:val="sr-Latn-RS" w:eastAsia="en-US" w:bidi="ar-SA"/>
        </w:rPr>
        <w:t>11</w:t>
      </w:r>
      <w:r>
        <w:rPr/>
        <w:t>.</w:t>
      </w:r>
    </w:p>
    <w:p>
      <w:pPr>
        <w:pStyle w:val="Normal"/>
        <w:tabs>
          <w:tab w:val="clear" w:pos="709"/>
          <w:tab w:val="left" w:pos="369" w:leader="none"/>
        </w:tabs>
        <w:jc w:val="both"/>
        <w:rPr>
          <w:lang w:val="ru-RU"/>
        </w:rPr>
      </w:pPr>
      <w:r>
        <w:rPr>
          <w:lang w:val="ru-RU"/>
        </w:rPr>
        <w:tab/>
        <w:tab/>
        <w:t xml:space="preserve">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 ауто-пут Београд –Ниш (који даље води за Бугарску, Турску и Грчку), веома важан магистрални пут Појате-Чачак, регионални пут према Крагујевцу, затим  железничке пруге Београд –Ниш (која такође даље води за Бугарску, Турску и Грчку)  и Сталаћ-Пожега (која даље води за Бар). </w:t>
      </w:r>
    </w:p>
    <w:p>
      <w:pPr>
        <w:pStyle w:val="Normal"/>
        <w:tabs>
          <w:tab w:val="clear" w:pos="709"/>
          <w:tab w:val="left" w:pos="369" w:leader="none"/>
        </w:tabs>
        <w:jc w:val="both"/>
        <w:rPr/>
      </w:pPr>
      <w:r>
        <w:rPr>
          <w:lang w:val="ru-RU"/>
        </w:rPr>
        <w:tab/>
        <w:tab/>
        <w:t>У општини постоје две индустријске зоне. Индустријска зона «Појате» се налази у истоименом месту и непосредној близини ауто-пута. У њој већ послује десетак предузећа. Индустријска зона није потпуно опремељена (недостају градска водоводна мрежа, канализација и гас). Друга индустријска зона је «Кошари» која се налази на путу за Варварин. У овој индустријској зони, тек од недавно је почела значајнија изградња производно-пословних погона. Она, такође</w:t>
      </w:r>
      <w:r>
        <w:rPr>
          <w:lang w:val="en-US"/>
        </w:rPr>
        <w:t>,</w:t>
      </w:r>
      <w:r>
        <w:rPr>
          <w:lang w:val="ru-RU"/>
        </w:rPr>
        <w:t xml:space="preserve"> није комплетно опремљена инфраструктуром. Изградња водоводне, канализационе и гасне мреже у овим зонама очекује се у наредном периоду.</w:t>
      </w:r>
    </w:p>
    <w:p>
      <w:pPr>
        <w:pStyle w:val="Normal"/>
        <w:ind w:left="0" w:right="0" w:firstLine="708"/>
        <w:jc w:val="both"/>
        <w:rPr/>
      </w:pPr>
      <w:r>
        <w:rPr/>
        <w:t>На територији општине око 70% становништва бави се пољопривредном производњом. Међутим, начин производње је застарео и углавном се производи у малим количинама и за сопствене потребе. Не постоји организован наступ на тржишту пољопривредних производа, а едукација пољопривредних произвођача и примена нових технологија у производњи је на ниском нивоу</w:t>
      </w:r>
      <w:r>
        <w:rPr>
          <w:lang w:val="en-US"/>
        </w:rPr>
        <w:t>.</w:t>
      </w:r>
    </w:p>
    <w:p>
      <w:pPr>
        <w:pStyle w:val="Normal"/>
        <w:ind w:left="0" w:right="0" w:firstLine="708"/>
        <w:jc w:val="both"/>
        <w:rPr/>
      </w:pPr>
      <w:r>
        <w:rPr/>
        <w:t xml:space="preserve">Општина Ћићевац је израдила Стратегију одрживог развоја која се </w:t>
      </w:r>
      <w:r>
        <w:rPr>
          <w:color w:val="2B2B2B"/>
        </w:rPr>
        <w:t xml:space="preserve">бави кључним питањима која су у друштвено-економској анализи идентификована као „корен“ или „узрочник“ проблема, и која ће се решавати у средњорочној или дугорочној перспективи кроз различите интервениције. </w:t>
      </w:r>
    </w:p>
    <w:p>
      <w:pPr>
        <w:pStyle w:val="Normal"/>
        <w:ind w:left="0" w:right="0" w:firstLine="708"/>
        <w:jc w:val="both"/>
        <w:rPr/>
      </w:pPr>
      <w:r>
        <w:rPr>
          <w:color w:val="2B2B2B"/>
        </w:rPr>
        <w:t>Општина Ћићевац се налази у такозваној трећој групи по степену развијености у Републици Србији чији је степен развијености у распону од 60% до 80% републичког просека. Са својих нешто мање од 10.000 становника по последњем попису и површином од 124 км2 спада у најмање локалне самоуправе у Републици Србији. Притом</w:t>
      </w:r>
      <w:r>
        <w:rPr>
          <w:color w:val="2B2B2B"/>
          <w:lang w:val="en-US"/>
        </w:rPr>
        <w:t>,</w:t>
      </w:r>
      <w:r>
        <w:rPr>
          <w:color w:val="2B2B2B"/>
        </w:rPr>
        <w:t xml:space="preserve"> значајна депопулација између два пописа и висока стопа незапослености представљају додатне проблеме али и изазове за локалну заједницу.</w:t>
      </w:r>
    </w:p>
    <w:p>
      <w:pPr>
        <w:pStyle w:val="Normal"/>
        <w:ind w:left="0" w:right="0" w:firstLine="708"/>
        <w:jc w:val="both"/>
        <w:rPr>
          <w:color w:val="2B2B2B"/>
        </w:rPr>
      </w:pPr>
      <w:r>
        <w:rPr>
          <w:color w:val="2B2B2B"/>
        </w:rPr>
      </w:r>
    </w:p>
    <w:p>
      <w:pPr>
        <w:pStyle w:val="Normal"/>
        <w:ind w:left="0" w:right="0" w:firstLine="708"/>
        <w:jc w:val="both"/>
        <w:rPr>
          <w:color w:val="2B2B2B"/>
        </w:rPr>
      </w:pPr>
      <w:r>
        <w:rPr>
          <w:color w:val="2B2B2B"/>
        </w:rPr>
      </w:r>
    </w:p>
    <w:p>
      <w:pPr>
        <w:pStyle w:val="Normal"/>
        <w:numPr>
          <w:ilvl w:val="0"/>
          <w:numId w:val="3"/>
        </w:numPr>
        <w:jc w:val="center"/>
        <w:rPr>
          <w:b/>
          <w:b/>
        </w:rPr>
      </w:pPr>
      <w:r>
        <w:rPr>
          <w:b/>
        </w:rPr>
        <w:t xml:space="preserve">   </w:t>
      </w:r>
      <w:r>
        <w:rPr>
          <w:b/>
        </w:rPr>
        <w:t>АНАЛИЗА СТАЊА НА ТРЖИШТУ РАДА И КАТЕГОРИЈЕ ТЕЖЕ ЗАПОШЉИВИХ ЛИЦА</w:t>
      </w:r>
    </w:p>
    <w:p>
      <w:pPr>
        <w:pStyle w:val="Normal"/>
        <w:rPr>
          <w:sz w:val="14"/>
        </w:rPr>
      </w:pPr>
      <w:r>
        <w:rPr>
          <w:sz w:val="14"/>
        </w:rPr>
      </w:r>
    </w:p>
    <w:p>
      <w:pPr>
        <w:pStyle w:val="Normal"/>
        <w:numPr>
          <w:ilvl w:val="1"/>
          <w:numId w:val="3"/>
        </w:numPr>
        <w:rPr>
          <w:b/>
          <w:b/>
        </w:rPr>
      </w:pPr>
      <w:r>
        <w:rPr>
          <w:b/>
        </w:rPr>
        <w:t>Анализа стања на тржишту рада</w:t>
      </w:r>
    </w:p>
    <w:p>
      <w:pPr>
        <w:pStyle w:val="Normal"/>
        <w:rPr/>
      </w:pPr>
      <w:r>
        <w:rPr/>
      </w:r>
    </w:p>
    <w:p>
      <w:pPr>
        <w:pStyle w:val="Normal"/>
        <w:ind w:left="0" w:right="0" w:firstLine="567"/>
        <w:rPr/>
      </w:pPr>
      <w:r>
        <w:rPr/>
        <w:t>На евиденцији НСЗ у Ћићевцу, закључно са</w:t>
      </w:r>
      <w:r>
        <w:rPr>
          <w:lang w:val="sr-RS"/>
        </w:rPr>
        <w:t xml:space="preserve"> </w:t>
      </w:r>
      <w:r>
        <w:rPr>
          <w:rFonts w:eastAsia="Arial Unicode MS" w:cs="Times New Roman"/>
          <w:color w:val="auto"/>
          <w:kern w:val="2"/>
          <w:sz w:val="24"/>
          <w:szCs w:val="24"/>
          <w:lang w:val="sr-Latn-RS" w:eastAsia="en-US" w:bidi="ar-SA"/>
        </w:rPr>
        <w:t>н</w:t>
      </w:r>
      <w:r>
        <w:rPr>
          <w:rFonts w:eastAsia="Arial Unicode MS" w:cs="Times New Roman"/>
          <w:color w:val="auto"/>
          <w:kern w:val="2"/>
          <w:sz w:val="24"/>
          <w:szCs w:val="24"/>
          <w:lang w:val="sr-RS" w:eastAsia="en-US" w:bidi="ar-SA"/>
        </w:rPr>
        <w:t>овембром</w:t>
      </w:r>
      <w:r>
        <w:rPr>
          <w:lang w:val="sr-RS"/>
        </w:rPr>
        <w:t xml:space="preserve"> </w:t>
      </w:r>
      <w:r>
        <w:rPr/>
        <w:t>201</w:t>
      </w:r>
      <w:r>
        <w:rPr>
          <w:lang w:val="sr-RS"/>
        </w:rPr>
        <w:t>9</w:t>
      </w:r>
      <w:r>
        <w:rPr/>
        <w:t xml:space="preserve">. године, има </w:t>
      </w:r>
      <w:r>
        <w:rPr>
          <w:rFonts w:eastAsia="Arial Unicode MS" w:cs="Times New Roman"/>
          <w:color w:val="auto"/>
          <w:kern w:val="2"/>
          <w:sz w:val="24"/>
          <w:szCs w:val="24"/>
          <w:lang w:val="sr-RS" w:eastAsia="en-US" w:bidi="ar-SA"/>
        </w:rPr>
        <w:t>756</w:t>
      </w:r>
      <w:r>
        <w:rPr/>
        <w:t xml:space="preserve"> лица, од тога </w:t>
      </w:r>
      <w:r>
        <w:rPr>
          <w:lang w:val="en-US"/>
        </w:rPr>
        <w:t>4</w:t>
      </w:r>
      <w:r>
        <w:rPr>
          <w:rFonts w:eastAsia="Arial Unicode MS" w:cs="Times New Roman"/>
          <w:color w:val="auto"/>
          <w:kern w:val="2"/>
          <w:sz w:val="24"/>
          <w:szCs w:val="24"/>
          <w:lang w:val="sr-RS" w:eastAsia="en-US" w:bidi="ar-SA"/>
        </w:rPr>
        <w:t>42</w:t>
      </w:r>
      <w:r>
        <w:rPr/>
        <w:t xml:space="preserve"> жен</w:t>
      </w:r>
      <w:r>
        <w:rPr>
          <w:lang w:val="sr-RS"/>
        </w:rPr>
        <w:t>е</w:t>
      </w:r>
      <w:r>
        <w:rPr/>
        <w:t>.</w:t>
      </w:r>
    </w:p>
    <w:p>
      <w:pPr>
        <w:pStyle w:val="Normal"/>
        <w:widowControl/>
        <w:suppressAutoHyphens w:val="false"/>
        <w:ind w:left="0" w:right="0" w:firstLine="567"/>
        <w:jc w:val="both"/>
        <w:rPr/>
      </w:pPr>
      <w:r>
        <w:rPr>
          <w:rFonts w:eastAsia="Calibri"/>
          <w:b/>
          <w:i/>
          <w:kern w:val="0"/>
          <w:lang w:val="sr-Latn-CS"/>
        </w:rPr>
        <w:t>Незапослено лице</w:t>
      </w:r>
      <w:r>
        <w:rPr>
          <w:rFonts w:eastAsia="Calibri"/>
          <w:kern w:val="0"/>
        </w:rPr>
        <w:t xml:space="preserve"> </w:t>
      </w:r>
      <w:r>
        <w:rPr>
          <w:rFonts w:eastAsia="Calibri"/>
          <w:kern w:val="0"/>
          <w:lang w:val="sr-Latn-CS"/>
        </w:rPr>
        <w:t xml:space="preserve">је лице од </w:t>
      </w:r>
      <w:r>
        <w:rPr>
          <w:rFonts w:eastAsia="Calibri"/>
          <w:kern w:val="0"/>
        </w:rPr>
        <w:t xml:space="preserve"> 15 </w:t>
      </w:r>
      <w:r>
        <w:rPr>
          <w:rFonts w:eastAsia="Calibri"/>
          <w:kern w:val="0"/>
          <w:lang w:val="sr-Latn-CS"/>
        </w:rPr>
        <w:t>до</w:t>
      </w:r>
      <w:r>
        <w:rPr>
          <w:rFonts w:eastAsia="Calibri"/>
          <w:kern w:val="0"/>
        </w:rPr>
        <w:t xml:space="preserve"> 65</w:t>
      </w:r>
      <w:r>
        <w:rPr>
          <w:rFonts w:eastAsia="Calibri"/>
          <w:kern w:val="0"/>
          <w:lang w:val="sr-Latn-CS"/>
        </w:rPr>
        <w:t xml:space="preserve"> година,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 Незапосленим се не сматра ученик, студент, пензионисано лице и земљорадник који обавља земљорадничку делатност и обавезно је осигуран по основу катастраских прихода</w:t>
      </w:r>
      <w:r>
        <w:rPr>
          <w:rFonts w:eastAsia="Calibri"/>
          <w:kern w:val="0"/>
        </w:rPr>
        <w:t xml:space="preserve"> - Закон о запошљавању и осигурању у случају незапослености </w:t>
      </w:r>
      <w:r>
        <w:rPr/>
        <w:t>(„Службени гласник РС”, бр. 36/09, 88/10 и 38/15 и 113/17)</w:t>
      </w:r>
    </w:p>
    <w:p>
      <w:pPr>
        <w:pStyle w:val="Normal"/>
        <w:widowControl/>
        <w:suppressAutoHyphens w:val="false"/>
        <w:ind w:left="0" w:right="0" w:firstLine="567"/>
        <w:jc w:val="both"/>
        <w:rPr/>
      </w:pPr>
      <w:r>
        <w:rPr>
          <w:rFonts w:eastAsia="Calibri"/>
          <w:b/>
          <w:i/>
          <w:kern w:val="0"/>
        </w:rPr>
        <w:t>Лице које тражи запослење</w:t>
      </w:r>
      <w:r>
        <w:rPr>
          <w:rFonts w:eastAsia="Calibri"/>
          <w:b/>
          <w:i/>
          <w:kern w:val="0"/>
          <w:lang w:val="sr-Latn-CS"/>
        </w:rPr>
        <w:t xml:space="preserve"> </w:t>
      </w:r>
      <w:r>
        <w:rPr>
          <w:rFonts w:eastAsia="Calibri"/>
          <w:kern w:val="0"/>
        </w:rPr>
        <w:t>је</w:t>
      </w:r>
      <w:r>
        <w:rPr>
          <w:rFonts w:eastAsia="Calibri"/>
          <w:b/>
          <w:i/>
          <w:kern w:val="0"/>
          <w:lang w:val="sr-Latn-CS"/>
        </w:rPr>
        <w:t xml:space="preserve"> </w:t>
      </w:r>
      <w:r>
        <w:rPr>
          <w:rFonts w:eastAsia="Calibri"/>
          <w:kern w:val="0"/>
          <w:lang w:val="sr-Latn-CS"/>
        </w:rPr>
        <w:t xml:space="preserve"> незапослен</w:t>
      </w:r>
      <w:r>
        <w:rPr>
          <w:rFonts w:eastAsia="Calibri"/>
          <w:kern w:val="0"/>
        </w:rPr>
        <w:t>о</w:t>
      </w:r>
      <w:r>
        <w:rPr>
          <w:rFonts w:eastAsia="Calibri"/>
          <w:kern w:val="0"/>
          <w:lang w:val="sr-Latn-CS"/>
        </w:rPr>
        <w:t xml:space="preserve"> лиц</w:t>
      </w:r>
      <w:r>
        <w:rPr>
          <w:rFonts w:eastAsia="Calibri"/>
          <w:kern w:val="0"/>
        </w:rPr>
        <w:t>е</w:t>
      </w:r>
      <w:r>
        <w:rPr>
          <w:rFonts w:eastAsia="Calibri"/>
          <w:kern w:val="0"/>
          <w:lang w:val="sr-Latn-CS"/>
        </w:rPr>
        <w:t xml:space="preserve"> или запослен</w:t>
      </w:r>
      <w:r>
        <w:rPr>
          <w:rFonts w:eastAsia="Calibri"/>
          <w:kern w:val="0"/>
        </w:rPr>
        <w:t>о</w:t>
      </w:r>
      <w:r>
        <w:rPr>
          <w:rFonts w:eastAsia="Calibri"/>
          <w:kern w:val="0"/>
          <w:lang w:val="sr-Latn-CS"/>
        </w:rPr>
        <w:t xml:space="preserve"> кој</w:t>
      </w:r>
      <w:r>
        <w:rPr>
          <w:rFonts w:eastAsia="Calibri"/>
          <w:kern w:val="0"/>
        </w:rPr>
        <w:t>е</w:t>
      </w:r>
      <w:r>
        <w:rPr>
          <w:rFonts w:eastAsia="Calibri"/>
          <w:kern w:val="0"/>
          <w:lang w:val="sr-Latn-CS"/>
        </w:rPr>
        <w:t xml:space="preserve"> траж</w:t>
      </w:r>
      <w:r>
        <w:rPr>
          <w:rFonts w:eastAsia="Calibri"/>
          <w:kern w:val="0"/>
        </w:rPr>
        <w:t>и</w:t>
      </w:r>
      <w:r>
        <w:rPr>
          <w:rFonts w:eastAsia="Calibri"/>
          <w:kern w:val="0"/>
          <w:lang w:val="sr-Latn-CS"/>
        </w:rPr>
        <w:t xml:space="preserve"> промену запослења</w:t>
      </w:r>
      <w:r>
        <w:rPr>
          <w:rFonts w:eastAsia="Calibri"/>
          <w:kern w:val="0"/>
        </w:rPr>
        <w:t xml:space="preserve"> - Закон о запошљавању и осигурању у случају незапослености </w:t>
      </w:r>
      <w:r>
        <w:rPr/>
        <w:t>(„Службени гласник РС”, бр. 36/09, 88/10, 38/15</w:t>
      </w:r>
      <w:r>
        <w:rPr>
          <w:lang w:val="en-US"/>
        </w:rPr>
        <w:t xml:space="preserve"> и </w:t>
      </w:r>
      <w:r>
        <w:rPr/>
        <w:t>113/17 – др. закон).</w:t>
      </w:r>
    </w:p>
    <w:p>
      <w:pPr>
        <w:pStyle w:val="Normal"/>
        <w:widowControl/>
        <w:tabs>
          <w:tab w:val="clear" w:pos="709"/>
          <w:tab w:val="left" w:pos="-360" w:leader="none"/>
        </w:tabs>
        <w:suppressAutoHyphens w:val="false"/>
        <w:ind w:left="-360" w:right="0" w:hanging="360"/>
        <w:jc w:val="both"/>
        <w:rPr/>
      </w:pPr>
      <w:r>
        <w:rPr/>
      </w:r>
    </w:p>
    <w:p>
      <w:pPr>
        <w:pStyle w:val="Normal"/>
        <w:rPr>
          <w:b/>
          <w:b/>
          <w:bCs/>
        </w:rPr>
      </w:pPr>
      <w:r>
        <w:rPr>
          <w:b/>
          <w:bCs/>
          <w:lang w:val="en-US"/>
        </w:rPr>
        <w:t>3</w:t>
      </w:r>
      <w:r>
        <w:rPr>
          <w:b/>
          <w:bCs/>
        </w:rPr>
        <w:t>.</w:t>
      </w:r>
      <w:r>
        <w:rPr>
          <w:b/>
          <w:bCs/>
          <w:lang w:val="en-US"/>
        </w:rPr>
        <w:t>2.</w:t>
      </w:r>
      <w:r>
        <w:rPr>
          <w:b/>
          <w:bCs/>
        </w:rPr>
        <w:t xml:space="preserve"> Кретање незапослености</w:t>
      </w:r>
    </w:p>
    <w:p>
      <w:pPr>
        <w:pStyle w:val="Normal"/>
        <w:rPr>
          <w:sz w:val="14"/>
        </w:rPr>
      </w:pPr>
      <w:r>
        <w:rPr>
          <w:sz w:val="14"/>
        </w:rPr>
      </w:r>
    </w:p>
    <w:p>
      <w:pPr>
        <w:pStyle w:val="Normal"/>
        <w:ind w:left="0" w:right="0" w:firstLine="720"/>
        <w:jc w:val="both"/>
        <w:rPr/>
      </w:pPr>
      <w:r>
        <w:rPr/>
        <w:t xml:space="preserve">Карактеристике тржишта рада остају непромењене у смислу високе незапослености и ниске мобилности радне снаге. </w:t>
      </w:r>
    </w:p>
    <w:p>
      <w:pPr>
        <w:pStyle w:val="Normal"/>
        <w:ind w:left="0" w:right="0" w:firstLine="720"/>
        <w:jc w:val="both"/>
        <w:rPr/>
      </w:pPr>
      <w:r>
        <w:rPr/>
        <w:t>Опште карактеристике тржишта рада до 201</w:t>
      </w:r>
      <w:r>
        <w:rPr>
          <w:lang w:val="sr-RS"/>
        </w:rPr>
        <w:t>9</w:t>
      </w:r>
      <w:r>
        <w:rPr/>
        <w:t xml:space="preserve">. године остају непромењене у односу на претходни период: </w:t>
      </w:r>
      <w:r>
        <w:rPr>
          <w:lang w:val="ru-RU"/>
        </w:rPr>
        <w:t>неусаглашеност понуде и потражње радне снаге, велико учешће дугорочно незапослених</w:t>
      </w:r>
      <w:r>
        <w:rPr/>
        <w:t xml:space="preserve">, </w:t>
      </w:r>
      <w:r>
        <w:rPr>
          <w:lang w:val="ru-RU"/>
        </w:rPr>
        <w:t>неповољна старосна и квалификациона структура незапослених, висока стопа незапослености младих, велики број незапослених који припадају теже запошљивим категоријама</w:t>
      </w:r>
      <w:r>
        <w:rPr>
          <w:lang w:val="sr-Latn-CS"/>
        </w:rPr>
        <w:t>.</w:t>
      </w:r>
    </w:p>
    <w:p>
      <w:pPr>
        <w:pStyle w:val="Normal"/>
        <w:rPr>
          <w:sz w:val="14"/>
        </w:rPr>
      </w:pPr>
      <w:r>
        <w:rPr>
          <w:sz w:val="14"/>
        </w:rPr>
      </w:r>
    </w:p>
    <w:p>
      <w:pPr>
        <w:pStyle w:val="Normal"/>
        <w:spacing w:lineRule="exact" w:line="300"/>
        <w:ind w:left="1080" w:right="0" w:hanging="0"/>
        <w:rPr>
          <w:b/>
          <w:b/>
        </w:rPr>
      </w:pPr>
      <w:r>
        <w:rPr>
          <w:b/>
        </w:rPr>
        <w:t>Кретање незапослености</w:t>
      </w:r>
    </w:p>
    <w:p>
      <w:pPr>
        <w:pStyle w:val="Normal"/>
        <w:spacing w:lineRule="exact" w:line="300"/>
        <w:jc w:val="center"/>
        <w:rPr/>
      </w:pPr>
      <w:r>
        <w:rPr>
          <w:b/>
          <w:i/>
        </w:rPr>
        <w:t xml:space="preserve">Структура незапослених према полу, </w:t>
      </w:r>
      <w:r>
        <w:rPr>
          <w:rFonts w:eastAsia="Arial Unicode MS" w:cs="Times New Roman"/>
          <w:b/>
          <w:i/>
          <w:color w:val="auto"/>
          <w:kern w:val="2"/>
          <w:sz w:val="24"/>
          <w:szCs w:val="24"/>
          <w:lang w:val="sr-RS" w:eastAsia="en-US" w:bidi="ar-SA"/>
        </w:rPr>
        <w:t>новембар</w:t>
      </w:r>
      <w:r>
        <w:rPr>
          <w:b/>
          <w:i/>
        </w:rPr>
        <w:t xml:space="preserve"> 201</w:t>
      </w:r>
      <w:r>
        <w:rPr>
          <w:b/>
          <w:i/>
          <w:lang w:val="sr-RS"/>
        </w:rPr>
        <w:t>9</w:t>
      </w:r>
    </w:p>
    <w:tbl>
      <w:tblPr>
        <w:tblW w:w="8206" w:type="dxa"/>
        <w:jc w:val="center"/>
        <w:tblInd w:w="0" w:type="dxa"/>
        <w:tblCellMar>
          <w:top w:w="0" w:type="dxa"/>
          <w:left w:w="108" w:type="dxa"/>
          <w:bottom w:w="0" w:type="dxa"/>
          <w:right w:w="108" w:type="dxa"/>
        </w:tblCellMar>
      </w:tblPr>
      <w:tblGrid>
        <w:gridCol w:w="3081"/>
        <w:gridCol w:w="1560"/>
        <w:gridCol w:w="1560"/>
        <w:gridCol w:w="2004"/>
      </w:tblGrid>
      <w:tr>
        <w:trPr>
          <w:trHeight w:val="828" w:hRule="atLeast"/>
        </w:trPr>
        <w:tc>
          <w:tcPr>
            <w:tcW w:w="46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rPr>
                <w:sz w:val="22"/>
                <w:szCs w:val="22"/>
              </w:rPr>
            </w:pPr>
            <w:r>
              <w:rPr>
                <w:sz w:val="22"/>
                <w:szCs w:val="22"/>
              </w:rPr>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 w:val="22"/>
                <w:szCs w:val="22"/>
              </w:rPr>
            </w:pPr>
            <w:r>
              <w:rPr>
                <w:sz w:val="22"/>
                <w:szCs w:val="22"/>
              </w:rPr>
              <w:t>Општина Ћићевац</w:t>
            </w:r>
          </w:p>
        </w:tc>
        <w:tc>
          <w:tcPr>
            <w:tcW w:w="2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 w:val="22"/>
                <w:szCs w:val="22"/>
              </w:rPr>
            </w:pPr>
            <w:r>
              <w:rPr>
                <w:sz w:val="22"/>
                <w:szCs w:val="22"/>
              </w:rPr>
              <w:t>Удео у Расинском округу (%)</w:t>
            </w:r>
          </w:p>
        </w:tc>
      </w:tr>
      <w:tr>
        <w:trPr/>
        <w:tc>
          <w:tcPr>
            <w:tcW w:w="46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rPr>
                <w:sz w:val="22"/>
                <w:szCs w:val="22"/>
              </w:rPr>
            </w:pPr>
            <w:r>
              <w:rPr>
                <w:sz w:val="22"/>
                <w:szCs w:val="22"/>
              </w:rPr>
              <w:t>Незапослени – укупно</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756</w:t>
            </w:r>
          </w:p>
        </w:tc>
        <w:tc>
          <w:tcPr>
            <w:tcW w:w="2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3,81%</w:t>
            </w:r>
          </w:p>
        </w:tc>
      </w:tr>
      <w:tr>
        <w:trPr/>
        <w:tc>
          <w:tcPr>
            <w:tcW w:w="308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rPr>
                <w:sz w:val="22"/>
                <w:szCs w:val="22"/>
              </w:rPr>
            </w:pPr>
            <w:r>
              <w:rPr>
                <w:sz w:val="22"/>
                <w:szCs w:val="22"/>
              </w:rPr>
              <w:t>Незапослени – жене</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 w:val="22"/>
                <w:szCs w:val="22"/>
              </w:rPr>
            </w:pPr>
            <w:r>
              <w:rPr>
                <w:sz w:val="22"/>
                <w:szCs w:val="22"/>
              </w:rPr>
              <w:t>Број</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442</w:t>
            </w:r>
          </w:p>
        </w:tc>
        <w:tc>
          <w:tcPr>
            <w:tcW w:w="2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3,92%</w:t>
            </w:r>
          </w:p>
        </w:tc>
      </w:tr>
      <w:tr>
        <w:trPr/>
        <w:tc>
          <w:tcPr>
            <w:tcW w:w="30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 w:val="22"/>
                <w:szCs w:val="22"/>
              </w:rPr>
            </w:pPr>
            <w:r>
              <w:rPr>
                <w:sz w:val="22"/>
                <w:szCs w:val="22"/>
              </w:rPr>
              <w:t>%</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58,47%</w:t>
            </w:r>
          </w:p>
        </w:tc>
        <w:tc>
          <w:tcPr>
            <w:tcW w:w="2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RS"/>
              </w:rPr>
            </w:pPr>
            <w:r>
              <w:rPr>
                <w:szCs w:val="24"/>
                <w:lang w:val="sr-RS"/>
              </w:rPr>
              <w:t>/</w:t>
            </w:r>
          </w:p>
        </w:tc>
      </w:tr>
      <w:tr>
        <w:trPr/>
        <w:tc>
          <w:tcPr>
            <w:tcW w:w="308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rPr>
                <w:sz w:val="22"/>
                <w:szCs w:val="22"/>
              </w:rPr>
            </w:pPr>
            <w:r>
              <w:rPr>
                <w:sz w:val="22"/>
                <w:szCs w:val="22"/>
              </w:rPr>
              <w:t>Незапослени – мушкарци</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 w:val="22"/>
                <w:szCs w:val="22"/>
              </w:rPr>
            </w:pPr>
            <w:r>
              <w:rPr>
                <w:sz w:val="22"/>
                <w:szCs w:val="22"/>
              </w:rPr>
              <w:t>Број</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314</w:t>
            </w:r>
          </w:p>
        </w:tc>
        <w:tc>
          <w:tcPr>
            <w:tcW w:w="2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3,67%</w:t>
            </w:r>
          </w:p>
        </w:tc>
      </w:tr>
      <w:tr>
        <w:trPr/>
        <w:tc>
          <w:tcPr>
            <w:tcW w:w="30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 w:val="22"/>
                <w:szCs w:val="22"/>
              </w:rPr>
            </w:pPr>
            <w:r>
              <w:rPr>
                <w:sz w:val="22"/>
                <w:szCs w:val="22"/>
              </w:rPr>
              <w:t>%</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Latn-RS"/>
              </w:rPr>
            </w:pPr>
            <w:r>
              <w:rPr>
                <w:szCs w:val="24"/>
                <w:lang w:val="sr-Latn-RS"/>
              </w:rPr>
              <w:t>41,53%</w:t>
            </w:r>
          </w:p>
        </w:tc>
        <w:tc>
          <w:tcPr>
            <w:tcW w:w="20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szCs w:val="24"/>
                <w:lang w:val="sr-RS"/>
              </w:rPr>
            </w:pPr>
            <w:r>
              <w:rPr>
                <w:szCs w:val="24"/>
                <w:lang w:val="sr-RS"/>
              </w:rPr>
              <w:t>/</w:t>
            </w:r>
          </w:p>
        </w:tc>
      </w:tr>
    </w:tbl>
    <w:p>
      <w:pPr>
        <w:pStyle w:val="Normal"/>
        <w:tabs>
          <w:tab w:val="left" w:pos="709" w:leader="none"/>
        </w:tabs>
        <w:spacing w:lineRule="exact" w:line="300"/>
        <w:jc w:val="center"/>
        <w:rPr>
          <w:b/>
          <w:b/>
          <w:i/>
          <w:i/>
        </w:rPr>
      </w:pPr>
      <w:r>
        <w:rPr>
          <w:b/>
          <w:i/>
        </w:rPr>
      </w:r>
    </w:p>
    <w:p>
      <w:pPr>
        <w:pStyle w:val="Normal"/>
        <w:tabs>
          <w:tab w:val="left" w:pos="709" w:leader="none"/>
        </w:tabs>
        <w:spacing w:lineRule="exact" w:line="300"/>
        <w:jc w:val="center"/>
        <w:rPr>
          <w:b/>
          <w:b/>
          <w:i/>
          <w:i/>
        </w:rPr>
      </w:pPr>
      <w:r>
        <w:rPr>
          <w:b/>
          <w:i/>
        </w:rPr>
        <w:t>Број и полна структура незапослених у општини Ћићевац по годинама</w:t>
      </w:r>
    </w:p>
    <w:p>
      <w:pPr>
        <w:pStyle w:val="Normal"/>
        <w:spacing w:lineRule="exact" w:line="300"/>
        <w:rPr/>
      </w:pPr>
      <w:r>
        <w:rPr/>
      </w:r>
    </w:p>
    <w:p>
      <w:pPr>
        <w:pStyle w:val="Normal"/>
        <w:spacing w:lineRule="exact" w:line="300"/>
        <w:rPr/>
      </w:pPr>
      <w:r>
        <w:rPr/>
      </w:r>
    </w:p>
    <w:tbl>
      <w:tblPr>
        <w:tblW w:w="9645" w:type="dxa"/>
        <w:jc w:val="left"/>
        <w:tblInd w:w="0" w:type="dxa"/>
        <w:tblCellMar>
          <w:top w:w="55" w:type="dxa"/>
          <w:left w:w="55" w:type="dxa"/>
          <w:bottom w:w="55" w:type="dxa"/>
          <w:right w:w="55" w:type="dxa"/>
        </w:tblCellMar>
      </w:tblPr>
      <w:tblGrid>
        <w:gridCol w:w="4300"/>
        <w:gridCol w:w="1484"/>
        <w:gridCol w:w="1347"/>
        <w:gridCol w:w="1242"/>
        <w:gridCol w:w="1272"/>
      </w:tblGrid>
      <w:tr>
        <w:trPr/>
        <w:tc>
          <w:tcPr>
            <w:tcW w:w="4300" w:type="dxa"/>
            <w:tcBorders>
              <w:top w:val="single" w:sz="2" w:space="0" w:color="000000"/>
              <w:left w:val="single" w:sz="2" w:space="0" w:color="000000"/>
              <w:bottom w:val="single" w:sz="2" w:space="0" w:color="000000"/>
            </w:tcBorders>
            <w:shd w:fill="auto" w:val="clear"/>
          </w:tcPr>
          <w:p>
            <w:pPr>
              <w:pStyle w:val="TableContents"/>
              <w:rPr/>
            </w:pPr>
            <w:r>
              <w:rPr/>
            </w:r>
          </w:p>
        </w:tc>
        <w:tc>
          <w:tcPr>
            <w:tcW w:w="1484" w:type="dxa"/>
            <w:tcBorders>
              <w:top w:val="single" w:sz="2" w:space="0" w:color="000000"/>
              <w:left w:val="single" w:sz="2" w:space="0" w:color="000000"/>
              <w:bottom w:val="single" w:sz="2" w:space="0" w:color="000000"/>
            </w:tcBorders>
            <w:shd w:fill="auto" w:val="clear"/>
          </w:tcPr>
          <w:p>
            <w:pPr>
              <w:pStyle w:val="Normal"/>
              <w:spacing w:lineRule="exact" w:line="300"/>
              <w:jc w:val="center"/>
              <w:rPr/>
            </w:pPr>
            <w:r>
              <w:rPr>
                <w:szCs w:val="24"/>
                <w:lang w:val="sr-RS"/>
              </w:rPr>
              <w:t>новембар</w:t>
            </w:r>
            <w:r>
              <w:rPr>
                <w:szCs w:val="24"/>
              </w:rPr>
              <w:t xml:space="preserve"> 2016</w:t>
            </w:r>
            <w:r>
              <w:rPr>
                <w:szCs w:val="24"/>
                <w:lang w:val="sr-RS"/>
              </w:rPr>
              <w:t>.</w:t>
            </w:r>
          </w:p>
        </w:tc>
        <w:tc>
          <w:tcPr>
            <w:tcW w:w="1347" w:type="dxa"/>
            <w:tcBorders>
              <w:top w:val="single" w:sz="2" w:space="0" w:color="000000"/>
              <w:left w:val="single" w:sz="2" w:space="0" w:color="000000"/>
              <w:bottom w:val="single" w:sz="2" w:space="0" w:color="000000"/>
            </w:tcBorders>
            <w:shd w:fill="auto" w:val="clear"/>
          </w:tcPr>
          <w:p>
            <w:pPr>
              <w:pStyle w:val="Normal"/>
              <w:spacing w:lineRule="exact" w:line="300"/>
              <w:jc w:val="center"/>
              <w:rPr/>
            </w:pPr>
            <w:r>
              <w:rPr>
                <w:szCs w:val="24"/>
                <w:lang w:val="sr-RS"/>
              </w:rPr>
              <w:t>новембар</w:t>
            </w:r>
            <w:r>
              <w:rPr>
                <w:szCs w:val="24"/>
              </w:rPr>
              <w:t xml:space="preserve"> 2017</w:t>
            </w:r>
            <w:r>
              <w:rPr>
                <w:szCs w:val="24"/>
                <w:lang w:val="sr-RS"/>
              </w:rPr>
              <w:t>.</w:t>
            </w:r>
          </w:p>
        </w:tc>
        <w:tc>
          <w:tcPr>
            <w:tcW w:w="1242" w:type="dxa"/>
            <w:tcBorders>
              <w:top w:val="single" w:sz="2" w:space="0" w:color="000000"/>
              <w:left w:val="single" w:sz="2" w:space="0" w:color="000000"/>
              <w:bottom w:val="single" w:sz="2" w:space="0" w:color="000000"/>
            </w:tcBorders>
            <w:shd w:fill="auto" w:val="clear"/>
          </w:tcPr>
          <w:p>
            <w:pPr>
              <w:pStyle w:val="Normal"/>
              <w:spacing w:lineRule="exact" w:line="300"/>
              <w:jc w:val="center"/>
              <w:rPr/>
            </w:pPr>
            <w:r>
              <w:rPr>
                <w:szCs w:val="24"/>
                <w:lang w:val="sr-RS"/>
              </w:rPr>
              <w:t>новембар</w:t>
            </w:r>
            <w:r>
              <w:rPr>
                <w:szCs w:val="24"/>
              </w:rPr>
              <w:t xml:space="preserve"> 2018</w:t>
            </w:r>
            <w:r>
              <w:rPr>
                <w:szCs w:val="24"/>
                <w:lang w:val="sr-RS"/>
              </w:rPr>
              <w:t>.</w:t>
            </w:r>
          </w:p>
        </w:tc>
        <w:tc>
          <w:tcPr>
            <w:tcW w:w="1272"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exact" w:line="300"/>
              <w:jc w:val="center"/>
              <w:rPr/>
            </w:pPr>
            <w:r>
              <w:rPr>
                <w:szCs w:val="24"/>
                <w:lang w:val="sr-RS"/>
              </w:rPr>
              <w:t>новембар</w:t>
            </w:r>
            <w:r>
              <w:rPr>
                <w:szCs w:val="24"/>
              </w:rPr>
              <w:t xml:space="preserve"> 2019</w:t>
            </w:r>
            <w:r>
              <w:rPr>
                <w:szCs w:val="24"/>
                <w:lang w:val="sr-RS"/>
              </w:rPr>
              <w:t>.</w:t>
            </w:r>
          </w:p>
        </w:tc>
      </w:tr>
      <w:tr>
        <w:trPr/>
        <w:tc>
          <w:tcPr>
            <w:tcW w:w="4300" w:type="dxa"/>
            <w:tcBorders>
              <w:left w:val="single" w:sz="2" w:space="0" w:color="000000"/>
              <w:bottom w:val="single" w:sz="2" w:space="0" w:color="000000"/>
            </w:tcBorders>
            <w:shd w:fill="auto" w:val="clear"/>
          </w:tcPr>
          <w:p>
            <w:pPr>
              <w:pStyle w:val="Normal"/>
              <w:spacing w:lineRule="exact" w:line="300"/>
              <w:rPr>
                <w:szCs w:val="24"/>
              </w:rPr>
            </w:pPr>
            <w:r>
              <w:rPr>
                <w:szCs w:val="24"/>
              </w:rPr>
              <w:t>Незапослени – укупно</w:t>
            </w:r>
          </w:p>
        </w:tc>
        <w:tc>
          <w:tcPr>
            <w:tcW w:w="1484"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915</w:t>
            </w:r>
          </w:p>
        </w:tc>
        <w:tc>
          <w:tcPr>
            <w:tcW w:w="1347" w:type="dxa"/>
            <w:tcBorders>
              <w:left w:val="single" w:sz="2" w:space="0" w:color="000000"/>
              <w:bottom w:val="single" w:sz="2" w:space="0" w:color="000000"/>
            </w:tcBorders>
            <w:shd w:fill="auto" w:val="clear"/>
          </w:tcPr>
          <w:p>
            <w:pPr>
              <w:pStyle w:val="Normal"/>
              <w:spacing w:lineRule="exact" w:line="300"/>
              <w:jc w:val="center"/>
              <w:rPr>
                <w:szCs w:val="24"/>
                <w:lang w:val="sr-Latn-RS"/>
              </w:rPr>
            </w:pPr>
            <w:r>
              <w:rPr>
                <w:szCs w:val="24"/>
                <w:lang w:val="sr-Latn-RS"/>
              </w:rPr>
              <w:t>860</w:t>
            </w:r>
          </w:p>
        </w:tc>
        <w:tc>
          <w:tcPr>
            <w:tcW w:w="1242"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783</w:t>
            </w:r>
          </w:p>
        </w:tc>
        <w:tc>
          <w:tcPr>
            <w:tcW w:w="1272" w:type="dxa"/>
            <w:tcBorders>
              <w:left w:val="single" w:sz="2" w:space="0" w:color="000000"/>
              <w:bottom w:val="single" w:sz="2" w:space="0" w:color="000000"/>
              <w:right w:val="single" w:sz="2" w:space="0" w:color="000000"/>
            </w:tcBorders>
            <w:shd w:fill="auto" w:val="clear"/>
          </w:tcPr>
          <w:p>
            <w:pPr>
              <w:pStyle w:val="Normal"/>
              <w:spacing w:lineRule="exact" w:line="300"/>
              <w:jc w:val="center"/>
              <w:rPr>
                <w:szCs w:val="24"/>
                <w:lang w:val="sr-Latn-RS"/>
              </w:rPr>
            </w:pPr>
            <w:r>
              <w:rPr>
                <w:szCs w:val="24"/>
                <w:lang w:val="sr-Latn-RS"/>
              </w:rPr>
              <w:t>756</w:t>
            </w:r>
          </w:p>
        </w:tc>
      </w:tr>
      <w:tr>
        <w:trPr/>
        <w:tc>
          <w:tcPr>
            <w:tcW w:w="4300" w:type="dxa"/>
            <w:tcBorders>
              <w:left w:val="single" w:sz="2" w:space="0" w:color="000000"/>
              <w:bottom w:val="single" w:sz="2" w:space="0" w:color="000000"/>
            </w:tcBorders>
            <w:shd w:fill="auto" w:val="clear"/>
          </w:tcPr>
          <w:p>
            <w:pPr>
              <w:pStyle w:val="Normal"/>
              <w:spacing w:lineRule="exact" w:line="300"/>
              <w:rPr>
                <w:szCs w:val="24"/>
              </w:rPr>
            </w:pPr>
            <w:r>
              <w:rPr>
                <w:szCs w:val="24"/>
              </w:rPr>
              <w:t>Незапослени – жене</w:t>
            </w:r>
          </w:p>
        </w:tc>
        <w:tc>
          <w:tcPr>
            <w:tcW w:w="1484"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475</w:t>
            </w:r>
          </w:p>
        </w:tc>
        <w:tc>
          <w:tcPr>
            <w:tcW w:w="1347" w:type="dxa"/>
            <w:tcBorders>
              <w:left w:val="single" w:sz="2" w:space="0" w:color="000000"/>
              <w:bottom w:val="single" w:sz="2" w:space="0" w:color="000000"/>
            </w:tcBorders>
            <w:shd w:fill="auto" w:val="clear"/>
          </w:tcPr>
          <w:p>
            <w:pPr>
              <w:pStyle w:val="Normal"/>
              <w:spacing w:lineRule="exact" w:line="300"/>
              <w:jc w:val="center"/>
              <w:rPr>
                <w:szCs w:val="24"/>
                <w:lang w:val="sr-Latn-RS"/>
              </w:rPr>
            </w:pPr>
            <w:r>
              <w:rPr>
                <w:szCs w:val="24"/>
                <w:lang w:val="sr-Latn-RS"/>
              </w:rPr>
              <w:t>474</w:t>
            </w:r>
          </w:p>
        </w:tc>
        <w:tc>
          <w:tcPr>
            <w:tcW w:w="1242"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451</w:t>
            </w:r>
          </w:p>
        </w:tc>
        <w:tc>
          <w:tcPr>
            <w:tcW w:w="1272" w:type="dxa"/>
            <w:tcBorders>
              <w:left w:val="single" w:sz="2" w:space="0" w:color="000000"/>
              <w:bottom w:val="single" w:sz="2" w:space="0" w:color="000000"/>
              <w:right w:val="single" w:sz="2" w:space="0" w:color="000000"/>
            </w:tcBorders>
            <w:shd w:fill="auto" w:val="clear"/>
          </w:tcPr>
          <w:p>
            <w:pPr>
              <w:pStyle w:val="Normal"/>
              <w:spacing w:lineRule="exact" w:line="300"/>
              <w:jc w:val="center"/>
              <w:rPr>
                <w:szCs w:val="24"/>
                <w:lang w:val="sr-Latn-RS"/>
              </w:rPr>
            </w:pPr>
            <w:r>
              <w:rPr>
                <w:szCs w:val="24"/>
                <w:lang w:val="sr-Latn-RS"/>
              </w:rPr>
              <w:t>442</w:t>
            </w:r>
          </w:p>
        </w:tc>
      </w:tr>
      <w:tr>
        <w:trPr/>
        <w:tc>
          <w:tcPr>
            <w:tcW w:w="4300" w:type="dxa"/>
            <w:tcBorders>
              <w:left w:val="single" w:sz="2" w:space="0" w:color="000000"/>
              <w:bottom w:val="single" w:sz="2" w:space="0" w:color="000000"/>
            </w:tcBorders>
            <w:shd w:fill="auto" w:val="clear"/>
          </w:tcPr>
          <w:p>
            <w:pPr>
              <w:pStyle w:val="Normal"/>
              <w:spacing w:lineRule="exact" w:line="300"/>
              <w:rPr>
                <w:szCs w:val="24"/>
              </w:rPr>
            </w:pPr>
            <w:r>
              <w:rPr>
                <w:szCs w:val="24"/>
              </w:rPr>
              <w:t>Незапослени - мушкарци</w:t>
            </w:r>
          </w:p>
        </w:tc>
        <w:tc>
          <w:tcPr>
            <w:tcW w:w="1484"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440</w:t>
            </w:r>
          </w:p>
        </w:tc>
        <w:tc>
          <w:tcPr>
            <w:tcW w:w="1347" w:type="dxa"/>
            <w:tcBorders>
              <w:left w:val="single" w:sz="2" w:space="0" w:color="000000"/>
              <w:bottom w:val="single" w:sz="2" w:space="0" w:color="000000"/>
            </w:tcBorders>
            <w:shd w:fill="auto" w:val="clear"/>
          </w:tcPr>
          <w:p>
            <w:pPr>
              <w:pStyle w:val="Normal"/>
              <w:spacing w:lineRule="exact" w:line="300"/>
              <w:jc w:val="center"/>
              <w:rPr>
                <w:szCs w:val="24"/>
                <w:lang w:val="sr-Latn-RS"/>
              </w:rPr>
            </w:pPr>
            <w:r>
              <w:rPr>
                <w:szCs w:val="24"/>
                <w:lang w:val="sr-Latn-RS"/>
              </w:rPr>
              <w:t>386</w:t>
            </w:r>
          </w:p>
        </w:tc>
        <w:tc>
          <w:tcPr>
            <w:tcW w:w="1242"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332</w:t>
            </w:r>
          </w:p>
        </w:tc>
        <w:tc>
          <w:tcPr>
            <w:tcW w:w="1272" w:type="dxa"/>
            <w:tcBorders>
              <w:left w:val="single" w:sz="2" w:space="0" w:color="000000"/>
              <w:bottom w:val="single" w:sz="2" w:space="0" w:color="000000"/>
              <w:right w:val="single" w:sz="2" w:space="0" w:color="000000"/>
            </w:tcBorders>
            <w:shd w:fill="auto" w:val="clear"/>
          </w:tcPr>
          <w:p>
            <w:pPr>
              <w:pStyle w:val="Normal"/>
              <w:spacing w:lineRule="exact" w:line="300"/>
              <w:jc w:val="center"/>
              <w:rPr>
                <w:szCs w:val="24"/>
                <w:lang w:val="sr-Latn-RS"/>
              </w:rPr>
            </w:pPr>
            <w:r>
              <w:rPr>
                <w:szCs w:val="24"/>
                <w:lang w:val="sr-Latn-RS"/>
              </w:rPr>
              <w:t>314</w:t>
            </w:r>
          </w:p>
        </w:tc>
      </w:tr>
    </w:tbl>
    <w:p>
      <w:pPr>
        <w:pStyle w:val="Normal"/>
        <w:spacing w:lineRule="exact" w:line="300"/>
        <w:rPr/>
      </w:pPr>
      <w:r>
        <w:rPr/>
      </w:r>
    </w:p>
    <w:p>
      <w:pPr>
        <w:pStyle w:val="Normal"/>
        <w:spacing w:lineRule="exact" w:line="300"/>
        <w:rPr/>
      </w:pPr>
      <w:r>
        <w:rPr/>
      </w:r>
    </w:p>
    <w:p>
      <w:pPr>
        <w:pStyle w:val="Normal"/>
        <w:ind w:left="0" w:right="0" w:firstLine="720"/>
        <w:jc w:val="both"/>
        <w:rPr/>
      </w:pPr>
      <w:r>
        <w:rPr>
          <w:szCs w:val="22"/>
        </w:rPr>
        <w:t>И поред чињенице да основни индикатори тржишта рада  у 201</w:t>
      </w:r>
      <w:r>
        <w:rPr>
          <w:szCs w:val="22"/>
          <w:lang w:val="sr-RS"/>
        </w:rPr>
        <w:t>9</w:t>
      </w:r>
      <w:r>
        <w:rPr>
          <w:szCs w:val="22"/>
        </w:rPr>
        <w:t>. години у односу на 201</w:t>
      </w:r>
      <w:r>
        <w:rPr>
          <w:szCs w:val="22"/>
          <w:lang w:val="sr-RS"/>
        </w:rPr>
        <w:t>8</w:t>
      </w:r>
      <w:r>
        <w:rPr>
          <w:szCs w:val="22"/>
        </w:rPr>
        <w:t>. годину бележе позитивне трендове, неравноправан положај полова на тржишту рада је и даље присутан. Стопа незапослености жена у 201</w:t>
      </w:r>
      <w:r>
        <w:rPr>
          <w:szCs w:val="22"/>
          <w:lang w:val="sr-RS"/>
        </w:rPr>
        <w:t>9</w:t>
      </w:r>
      <w:r>
        <w:rPr>
          <w:szCs w:val="22"/>
        </w:rPr>
        <w:t>. години износи 5</w:t>
      </w:r>
      <w:r>
        <w:rPr>
          <w:szCs w:val="22"/>
          <w:lang w:val="sr-RS"/>
        </w:rPr>
        <w:t>8,47</w:t>
      </w:r>
      <w:r>
        <w:rPr>
          <w:szCs w:val="22"/>
        </w:rPr>
        <w:t>%, а мушкараца 4</w:t>
      </w:r>
      <w:r>
        <w:rPr>
          <w:szCs w:val="22"/>
          <w:lang w:val="sr-RS"/>
        </w:rPr>
        <w:t>1,53</w:t>
      </w:r>
      <w:r>
        <w:rPr>
          <w:szCs w:val="22"/>
        </w:rPr>
        <w:t>%.</w:t>
      </w:r>
    </w:p>
    <w:p>
      <w:pPr>
        <w:pStyle w:val="Normal"/>
        <w:spacing w:lineRule="auto" w:line="276"/>
        <w:ind w:left="0" w:right="0" w:firstLine="720"/>
        <w:jc w:val="both"/>
        <w:rPr>
          <w:rFonts w:eastAsia="Times New Roman"/>
          <w:sz w:val="14"/>
        </w:rPr>
      </w:pPr>
      <w:r>
        <w:rPr>
          <w:rFonts w:eastAsia="Times New Roman"/>
          <w:sz w:val="14"/>
        </w:rPr>
      </w:r>
    </w:p>
    <w:p>
      <w:pPr>
        <w:pStyle w:val="Normal"/>
        <w:spacing w:lineRule="exact" w:line="300"/>
        <w:ind w:left="0" w:right="0" w:firstLine="720"/>
        <w:jc w:val="center"/>
        <w:rPr/>
      </w:pPr>
      <w:r>
        <w:rPr>
          <w:rFonts w:eastAsia="Times New Roman"/>
          <w:b/>
          <w:bCs/>
          <w:i/>
        </w:rPr>
        <w:t>Старосна структура незапослених лица</w:t>
      </w:r>
      <w:r>
        <w:rPr>
          <w:rFonts w:eastAsia="Times New Roman"/>
          <w:b/>
          <w:bCs/>
          <w:i/>
          <w:lang w:val="en-US"/>
        </w:rPr>
        <w:t xml:space="preserve"> </w:t>
      </w:r>
      <w:r>
        <w:rPr>
          <w:rFonts w:eastAsia="Times New Roman"/>
          <w:b/>
          <w:bCs/>
          <w:i/>
        </w:rPr>
        <w:t xml:space="preserve"> по годинама</w:t>
      </w:r>
    </w:p>
    <w:p>
      <w:pPr>
        <w:pStyle w:val="Normal"/>
        <w:spacing w:lineRule="exact" w:line="300"/>
        <w:ind w:left="0" w:right="0" w:firstLine="720"/>
        <w:jc w:val="center"/>
        <w:rPr>
          <w:rFonts w:eastAsia="Times New Roman"/>
          <w:b/>
          <w:b/>
          <w:bCs/>
          <w:i/>
          <w:i/>
        </w:rPr>
      </w:pPr>
      <w:r>
        <w:rPr>
          <w:rFonts w:eastAsia="Times New Roman"/>
          <w:b/>
          <w:bCs/>
          <w:i/>
        </w:rPr>
      </w:r>
    </w:p>
    <w:p>
      <w:pPr>
        <w:pStyle w:val="Normal"/>
        <w:spacing w:lineRule="exact" w:line="300"/>
        <w:ind w:left="0" w:right="0" w:firstLine="720"/>
        <w:jc w:val="center"/>
        <w:rPr>
          <w:rFonts w:eastAsia="Times New Roman"/>
          <w:b/>
          <w:b/>
          <w:bCs/>
          <w:i/>
          <w:i/>
        </w:rPr>
      </w:pPr>
      <w:r>
        <w:rPr>
          <w:rFonts w:eastAsia="Times New Roman"/>
          <w:b/>
          <w:bCs/>
          <w:i/>
        </w:rPr>
      </w:r>
    </w:p>
    <w:tbl>
      <w:tblPr>
        <w:tblW w:w="9645" w:type="dxa"/>
        <w:jc w:val="left"/>
        <w:tblInd w:w="0" w:type="dxa"/>
        <w:tblCellMar>
          <w:top w:w="55" w:type="dxa"/>
          <w:left w:w="55" w:type="dxa"/>
          <w:bottom w:w="55" w:type="dxa"/>
          <w:right w:w="55" w:type="dxa"/>
        </w:tblCellMar>
      </w:tblPr>
      <w:tblGrid>
        <w:gridCol w:w="3056"/>
        <w:gridCol w:w="1752"/>
        <w:gridCol w:w="1529"/>
        <w:gridCol w:w="1706"/>
        <w:gridCol w:w="1602"/>
      </w:tblGrid>
      <w:tr>
        <w:trPr/>
        <w:tc>
          <w:tcPr>
            <w:tcW w:w="3056" w:type="dxa"/>
            <w:tcBorders>
              <w:top w:val="single" w:sz="2" w:space="0" w:color="000000"/>
              <w:left w:val="single" w:sz="2" w:space="0" w:color="000000"/>
              <w:bottom w:val="single" w:sz="2" w:space="0" w:color="000000"/>
            </w:tcBorders>
            <w:shd w:fill="auto" w:val="clear"/>
          </w:tcPr>
          <w:p>
            <w:pPr>
              <w:pStyle w:val="Normal"/>
              <w:tabs>
                <w:tab w:val="clear" w:pos="709"/>
                <w:tab w:val="left" w:pos="2640" w:leader="none"/>
              </w:tabs>
              <w:spacing w:lineRule="exact" w:line="300"/>
              <w:rPr>
                <w:rFonts w:cs="Times New Roman"/>
                <w:szCs w:val="24"/>
              </w:rPr>
            </w:pPr>
            <w:r>
              <w:rPr>
                <w:rFonts w:cs="Times New Roman"/>
                <w:szCs w:val="24"/>
              </w:rPr>
              <w:t>Незапосленост</w:t>
            </w:r>
          </w:p>
        </w:tc>
        <w:tc>
          <w:tcPr>
            <w:tcW w:w="1752" w:type="dxa"/>
            <w:tcBorders>
              <w:top w:val="single" w:sz="2" w:space="0" w:color="000000"/>
              <w:left w:val="single" w:sz="2" w:space="0" w:color="000000"/>
              <w:bottom w:val="single" w:sz="2" w:space="0" w:color="000000"/>
            </w:tcBorders>
            <w:shd w:fill="auto" w:val="clear"/>
          </w:tcPr>
          <w:p>
            <w:pPr>
              <w:pStyle w:val="Normal"/>
              <w:widowControl w:val="false"/>
              <w:suppressLineNumbers/>
              <w:suppressAutoHyphens w:val="true"/>
              <w:spacing w:lineRule="exact" w:line="300"/>
              <w:jc w:val="center"/>
              <w:rPr>
                <w:rFonts w:eastAsia="Arial Unicode MS" w:cs="Times New Roman"/>
                <w:kern w:val="2"/>
                <w:szCs w:val="24"/>
                <w:lang w:val="sr-CS"/>
              </w:rPr>
            </w:pPr>
            <w:r>
              <w:rPr>
                <w:rFonts w:eastAsia="Arial Unicode MS" w:cs="Times New Roman"/>
                <w:kern w:val="2"/>
                <w:szCs w:val="24"/>
                <w:lang w:val="sr-CS"/>
              </w:rPr>
              <w:t>Новембар 2016.</w:t>
            </w:r>
          </w:p>
        </w:tc>
        <w:tc>
          <w:tcPr>
            <w:tcW w:w="1529" w:type="dxa"/>
            <w:tcBorders>
              <w:top w:val="single" w:sz="2" w:space="0" w:color="000000"/>
              <w:left w:val="single" w:sz="2" w:space="0" w:color="000000"/>
              <w:bottom w:val="single" w:sz="2" w:space="0" w:color="000000"/>
            </w:tcBorders>
            <w:shd w:fill="auto" w:val="clear"/>
          </w:tcPr>
          <w:p>
            <w:pPr>
              <w:pStyle w:val="Normal"/>
              <w:widowControl w:val="false"/>
              <w:suppressLineNumbers/>
              <w:suppressAutoHyphens w:val="true"/>
              <w:spacing w:lineRule="exact" w:line="300"/>
              <w:jc w:val="center"/>
              <w:rPr>
                <w:rFonts w:eastAsia="Arial Unicode MS" w:cs="Times New Roman"/>
                <w:kern w:val="2"/>
                <w:szCs w:val="24"/>
                <w:lang w:val="sr-CS"/>
              </w:rPr>
            </w:pPr>
            <w:r>
              <w:rPr>
                <w:rFonts w:eastAsia="Arial Unicode MS" w:cs="Times New Roman"/>
                <w:kern w:val="2"/>
                <w:szCs w:val="24"/>
                <w:lang w:val="sr-CS"/>
              </w:rPr>
              <w:t>Новембар 2017.</w:t>
            </w:r>
          </w:p>
        </w:tc>
        <w:tc>
          <w:tcPr>
            <w:tcW w:w="1706" w:type="dxa"/>
            <w:tcBorders>
              <w:top w:val="single" w:sz="2" w:space="0" w:color="000000"/>
              <w:left w:val="single" w:sz="2" w:space="0" w:color="000000"/>
              <w:bottom w:val="single" w:sz="2" w:space="0" w:color="000000"/>
            </w:tcBorders>
            <w:shd w:fill="auto" w:val="clear"/>
          </w:tcPr>
          <w:p>
            <w:pPr>
              <w:pStyle w:val="Normal"/>
              <w:widowControl w:val="false"/>
              <w:suppressLineNumbers/>
              <w:suppressAutoHyphens w:val="true"/>
              <w:spacing w:lineRule="exact" w:line="300"/>
              <w:jc w:val="center"/>
              <w:rPr>
                <w:rFonts w:eastAsia="Arial Unicode MS" w:cs="Times New Roman"/>
                <w:kern w:val="2"/>
                <w:szCs w:val="24"/>
                <w:lang w:val="sr-CS"/>
              </w:rPr>
            </w:pPr>
            <w:r>
              <w:rPr>
                <w:rFonts w:eastAsia="Arial Unicode MS" w:cs="Times New Roman"/>
                <w:kern w:val="2"/>
                <w:szCs w:val="24"/>
                <w:lang w:val="sr-CS"/>
              </w:rPr>
              <w:t>Новембар 2018.</w:t>
            </w:r>
          </w:p>
        </w:tc>
        <w:tc>
          <w:tcPr>
            <w:tcW w:w="160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LineNumbers/>
              <w:suppressAutoHyphens w:val="true"/>
              <w:spacing w:lineRule="exact" w:line="300"/>
              <w:jc w:val="center"/>
              <w:rPr>
                <w:rFonts w:eastAsia="Arial Unicode MS" w:cs="Times New Roman"/>
                <w:kern w:val="2"/>
                <w:szCs w:val="24"/>
                <w:lang w:val="sr-CS"/>
              </w:rPr>
            </w:pPr>
            <w:r>
              <w:rPr>
                <w:rFonts w:eastAsia="Arial Unicode MS" w:cs="Times New Roman"/>
                <w:kern w:val="2"/>
                <w:szCs w:val="24"/>
                <w:lang w:val="sr-CS"/>
              </w:rPr>
              <w:t>Новембар 2019.</w:t>
            </w:r>
          </w:p>
        </w:tc>
      </w:tr>
      <w:tr>
        <w:trPr/>
        <w:tc>
          <w:tcPr>
            <w:tcW w:w="305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rPr/>
            </w:pPr>
            <w:r>
              <w:rPr>
                <w:rFonts w:cs="Times New Roman"/>
                <w:szCs w:val="24"/>
              </w:rPr>
              <w:t>Укуп</w:t>
            </w:r>
            <w:r>
              <w:rPr>
                <w:rFonts w:cs="Times New Roman"/>
                <w:szCs w:val="24"/>
                <w:lang w:val="sr-RS"/>
              </w:rPr>
              <w:t>ан број</w:t>
            </w:r>
            <w:r>
              <w:rPr>
                <w:rFonts w:cs="Times New Roman"/>
                <w:szCs w:val="24"/>
              </w:rPr>
              <w:t xml:space="preserve"> незапослени</w:t>
            </w:r>
            <w:r>
              <w:rPr>
                <w:rFonts w:cs="Times New Roman"/>
                <w:szCs w:val="24"/>
                <w:lang w:val="sr-RS"/>
              </w:rPr>
              <w:t>х лица</w:t>
            </w:r>
          </w:p>
        </w:tc>
        <w:tc>
          <w:tcPr>
            <w:tcW w:w="1752"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915</w:t>
            </w:r>
          </w:p>
        </w:tc>
        <w:tc>
          <w:tcPr>
            <w:tcW w:w="1529" w:type="dxa"/>
            <w:tcBorders>
              <w:left w:val="single" w:sz="2" w:space="0" w:color="000000"/>
              <w:bottom w:val="single" w:sz="2" w:space="0" w:color="000000"/>
            </w:tcBorders>
            <w:shd w:fill="auto" w:val="clear"/>
          </w:tcPr>
          <w:p>
            <w:pPr>
              <w:pStyle w:val="Normal"/>
              <w:spacing w:lineRule="exact" w:line="300"/>
              <w:jc w:val="center"/>
              <w:rPr>
                <w:szCs w:val="24"/>
                <w:lang w:val="sr-Latn-RS"/>
              </w:rPr>
            </w:pPr>
            <w:r>
              <w:rPr>
                <w:szCs w:val="24"/>
                <w:lang w:val="sr-Latn-RS"/>
              </w:rPr>
              <w:t>860</w:t>
            </w:r>
          </w:p>
        </w:tc>
        <w:tc>
          <w:tcPr>
            <w:tcW w:w="1706" w:type="dxa"/>
            <w:tcBorders>
              <w:left w:val="single" w:sz="2" w:space="0" w:color="000000"/>
              <w:bottom w:val="single" w:sz="2" w:space="0" w:color="000000"/>
            </w:tcBorders>
            <w:shd w:fill="auto" w:val="clear"/>
          </w:tcPr>
          <w:p>
            <w:pPr>
              <w:pStyle w:val="Normal"/>
              <w:spacing w:lineRule="exact" w:line="300"/>
              <w:jc w:val="center"/>
              <w:rPr>
                <w:szCs w:val="24"/>
                <w:lang w:val="sr-RS"/>
              </w:rPr>
            </w:pPr>
            <w:r>
              <w:rPr>
                <w:szCs w:val="24"/>
                <w:lang w:val="sr-RS"/>
              </w:rPr>
              <w:t>783</w:t>
            </w:r>
          </w:p>
        </w:tc>
        <w:tc>
          <w:tcPr>
            <w:tcW w:w="1602" w:type="dxa"/>
            <w:tcBorders>
              <w:left w:val="single" w:sz="2" w:space="0" w:color="000000"/>
              <w:bottom w:val="single" w:sz="2" w:space="0" w:color="000000"/>
              <w:right w:val="single" w:sz="2" w:space="0" w:color="000000"/>
            </w:tcBorders>
            <w:shd w:fill="auto" w:val="clear"/>
          </w:tcPr>
          <w:p>
            <w:pPr>
              <w:pStyle w:val="Normal"/>
              <w:spacing w:lineRule="exact" w:line="300"/>
              <w:jc w:val="center"/>
              <w:rPr>
                <w:szCs w:val="24"/>
                <w:lang w:val="sr-Latn-RS"/>
              </w:rPr>
            </w:pPr>
            <w:r>
              <w:rPr>
                <w:szCs w:val="24"/>
                <w:lang w:val="sr-Latn-RS"/>
              </w:rPr>
              <w:t>756</w:t>
            </w:r>
          </w:p>
        </w:tc>
      </w:tr>
      <w:tr>
        <w:trPr/>
        <w:tc>
          <w:tcPr>
            <w:tcW w:w="305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rPr/>
            </w:pPr>
            <w:r>
              <w:rPr>
                <w:rFonts w:cs="Times New Roman"/>
                <w:szCs w:val="24"/>
                <w:lang w:val="sr-RS"/>
              </w:rPr>
              <w:t>Број н</w:t>
            </w:r>
            <w:r>
              <w:rPr>
                <w:rFonts w:cs="Times New Roman"/>
                <w:szCs w:val="24"/>
              </w:rPr>
              <w:t>езапослен</w:t>
            </w:r>
            <w:r>
              <w:rPr>
                <w:rFonts w:cs="Times New Roman"/>
                <w:szCs w:val="24"/>
                <w:lang w:val="sr-RS"/>
              </w:rPr>
              <w:t>их</w:t>
            </w:r>
            <w:r>
              <w:rPr>
                <w:rFonts w:cs="Times New Roman"/>
                <w:szCs w:val="24"/>
              </w:rPr>
              <w:t xml:space="preserve"> </w:t>
            </w:r>
          </w:p>
          <w:p>
            <w:pPr>
              <w:pStyle w:val="Normal"/>
              <w:tabs>
                <w:tab w:val="clear" w:pos="709"/>
                <w:tab w:val="left" w:pos="2640" w:leader="none"/>
              </w:tabs>
              <w:spacing w:lineRule="exact" w:line="300"/>
              <w:rPr/>
            </w:pPr>
            <w:r>
              <w:rPr>
                <w:rFonts w:cs="Times New Roman"/>
                <w:szCs w:val="24"/>
              </w:rPr>
              <w:t>млади</w:t>
            </w:r>
            <w:r>
              <w:rPr>
                <w:rFonts w:cs="Times New Roman"/>
                <w:szCs w:val="24"/>
                <w:lang w:val="sr-RS"/>
              </w:rPr>
              <w:t>х</w:t>
            </w:r>
            <w:r>
              <w:rPr>
                <w:rFonts w:cs="Times New Roman"/>
                <w:szCs w:val="24"/>
              </w:rPr>
              <w:t xml:space="preserve"> </w:t>
            </w:r>
            <w:r>
              <w:rPr>
                <w:rFonts w:cs="Times New Roman"/>
                <w:szCs w:val="24"/>
                <w:lang w:val="sr-RS"/>
              </w:rPr>
              <w:t>(</w:t>
            </w:r>
            <w:r>
              <w:rPr>
                <w:rFonts w:cs="Times New Roman"/>
                <w:szCs w:val="24"/>
              </w:rPr>
              <w:t>15-30</w:t>
            </w:r>
            <w:r>
              <w:rPr>
                <w:rFonts w:cs="Times New Roman"/>
                <w:szCs w:val="24"/>
                <w:lang w:val="sr-RS"/>
              </w:rPr>
              <w:t xml:space="preserve"> година)</w:t>
            </w:r>
          </w:p>
        </w:tc>
        <w:tc>
          <w:tcPr>
            <w:tcW w:w="1752"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209</w:t>
            </w:r>
          </w:p>
        </w:tc>
        <w:tc>
          <w:tcPr>
            <w:tcW w:w="1529"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181</w:t>
            </w:r>
          </w:p>
        </w:tc>
        <w:tc>
          <w:tcPr>
            <w:tcW w:w="170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157</w:t>
            </w:r>
          </w:p>
        </w:tc>
        <w:tc>
          <w:tcPr>
            <w:tcW w:w="1602" w:type="dxa"/>
            <w:tcBorders>
              <w:left w:val="single" w:sz="2" w:space="0" w:color="000000"/>
              <w:bottom w:val="single" w:sz="2" w:space="0" w:color="000000"/>
              <w:right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Latn-RS"/>
              </w:rPr>
            </w:pPr>
            <w:r>
              <w:rPr>
                <w:rFonts w:cs="Times New Roman"/>
                <w:szCs w:val="24"/>
                <w:lang w:val="sr-Latn-RS"/>
              </w:rPr>
              <w:t>164</w:t>
            </w:r>
          </w:p>
        </w:tc>
      </w:tr>
      <w:tr>
        <w:trPr/>
        <w:tc>
          <w:tcPr>
            <w:tcW w:w="305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rPr/>
            </w:pPr>
            <w:r>
              <w:rPr>
                <w:rFonts w:cs="Times New Roman"/>
                <w:szCs w:val="24"/>
                <w:lang w:val="sr-RS"/>
              </w:rPr>
              <w:t>Број н</w:t>
            </w:r>
            <w:r>
              <w:rPr>
                <w:rFonts w:cs="Times New Roman"/>
                <w:szCs w:val="24"/>
              </w:rPr>
              <w:t>езапослени</w:t>
            </w:r>
            <w:r>
              <w:rPr>
                <w:rFonts w:cs="Times New Roman"/>
                <w:szCs w:val="24"/>
                <w:lang w:val="sr-RS"/>
              </w:rPr>
              <w:t>х</w:t>
            </w:r>
            <w:r>
              <w:rPr>
                <w:rFonts w:cs="Times New Roman"/>
                <w:szCs w:val="24"/>
              </w:rPr>
              <w:t xml:space="preserve"> старији</w:t>
            </w:r>
            <w:r>
              <w:rPr>
                <w:rFonts w:cs="Times New Roman"/>
                <w:szCs w:val="24"/>
                <w:lang w:val="sr-RS"/>
              </w:rPr>
              <w:t>х</w:t>
            </w:r>
            <w:r>
              <w:rPr>
                <w:rFonts w:cs="Times New Roman"/>
                <w:szCs w:val="24"/>
              </w:rPr>
              <w:t xml:space="preserve"> од 50 г</w:t>
            </w:r>
            <w:r>
              <w:rPr>
                <w:rFonts w:cs="Times New Roman"/>
                <w:szCs w:val="24"/>
                <w:lang w:val="sr-RS"/>
              </w:rPr>
              <w:t>одина</w:t>
            </w:r>
          </w:p>
        </w:tc>
        <w:tc>
          <w:tcPr>
            <w:tcW w:w="1752"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279</w:t>
            </w:r>
          </w:p>
        </w:tc>
        <w:tc>
          <w:tcPr>
            <w:tcW w:w="1529"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Latn-RS"/>
              </w:rPr>
            </w:pPr>
            <w:r>
              <w:rPr>
                <w:rFonts w:cs="Times New Roman"/>
                <w:szCs w:val="24"/>
                <w:lang w:val="sr-Latn-RS"/>
              </w:rPr>
              <w:t>288</w:t>
            </w:r>
          </w:p>
        </w:tc>
        <w:tc>
          <w:tcPr>
            <w:tcW w:w="170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276</w:t>
            </w:r>
          </w:p>
        </w:tc>
        <w:tc>
          <w:tcPr>
            <w:tcW w:w="1602" w:type="dxa"/>
            <w:tcBorders>
              <w:left w:val="single" w:sz="2" w:space="0" w:color="000000"/>
              <w:bottom w:val="single" w:sz="2" w:space="0" w:color="000000"/>
              <w:right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Latn-RS"/>
              </w:rPr>
            </w:pPr>
            <w:r>
              <w:rPr>
                <w:rFonts w:cs="Times New Roman"/>
                <w:szCs w:val="24"/>
                <w:lang w:val="sr-Latn-RS"/>
              </w:rPr>
              <w:t>261</w:t>
            </w:r>
          </w:p>
        </w:tc>
      </w:tr>
      <w:tr>
        <w:trPr/>
        <w:tc>
          <w:tcPr>
            <w:tcW w:w="305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rPr/>
            </w:pPr>
            <w:r>
              <w:rPr>
                <w:rFonts w:cs="Times New Roman"/>
                <w:szCs w:val="24"/>
              </w:rPr>
              <w:t>Дугорочн</w:t>
            </w:r>
            <w:r>
              <w:rPr>
                <w:rFonts w:cs="Times New Roman"/>
                <w:szCs w:val="24"/>
                <w:lang w:val="sr-RS"/>
              </w:rPr>
              <w:t>о</w:t>
            </w:r>
            <w:r>
              <w:rPr>
                <w:rFonts w:cs="Times New Roman"/>
                <w:szCs w:val="24"/>
              </w:rPr>
              <w:t xml:space="preserve"> незапосле</w:t>
            </w:r>
            <w:r>
              <w:rPr>
                <w:rFonts w:cs="Times New Roman"/>
                <w:szCs w:val="24"/>
                <w:lang w:val="sr-RS"/>
              </w:rPr>
              <w:t>ни (преко 12 месеци)</w:t>
            </w:r>
          </w:p>
        </w:tc>
        <w:tc>
          <w:tcPr>
            <w:tcW w:w="1752"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614</w:t>
            </w:r>
          </w:p>
        </w:tc>
        <w:tc>
          <w:tcPr>
            <w:tcW w:w="1529"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Latn-RS"/>
              </w:rPr>
            </w:pPr>
            <w:r>
              <w:rPr>
                <w:rFonts w:cs="Times New Roman"/>
                <w:szCs w:val="24"/>
                <w:lang w:val="sr-Latn-RS"/>
              </w:rPr>
              <w:t>576</w:t>
            </w:r>
          </w:p>
        </w:tc>
        <w:tc>
          <w:tcPr>
            <w:tcW w:w="170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512</w:t>
            </w:r>
          </w:p>
        </w:tc>
        <w:tc>
          <w:tcPr>
            <w:tcW w:w="1602" w:type="dxa"/>
            <w:tcBorders>
              <w:left w:val="single" w:sz="2" w:space="0" w:color="000000"/>
              <w:bottom w:val="single" w:sz="2" w:space="0" w:color="000000"/>
              <w:right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Latn-RS"/>
              </w:rPr>
            </w:pPr>
            <w:r>
              <w:rPr>
                <w:rFonts w:cs="Times New Roman"/>
                <w:szCs w:val="24"/>
                <w:lang w:val="sr-Latn-RS"/>
              </w:rPr>
              <w:t>456</w:t>
            </w:r>
          </w:p>
        </w:tc>
      </w:tr>
      <w:tr>
        <w:trPr/>
        <w:tc>
          <w:tcPr>
            <w:tcW w:w="305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rPr/>
            </w:pPr>
            <w:r>
              <w:rPr>
                <w:rFonts w:cs="Times New Roman"/>
                <w:szCs w:val="24"/>
                <w:lang w:val="sr-RS"/>
              </w:rPr>
              <w:t>Учешће – удео д</w:t>
            </w:r>
            <w:r>
              <w:rPr>
                <w:rFonts w:cs="Times New Roman"/>
                <w:szCs w:val="24"/>
              </w:rPr>
              <w:t>угорочн</w:t>
            </w:r>
            <w:r>
              <w:rPr>
                <w:rFonts w:cs="Times New Roman"/>
                <w:szCs w:val="24"/>
                <w:lang w:val="sr-RS"/>
              </w:rPr>
              <w:t>о</w:t>
            </w:r>
            <w:r>
              <w:rPr>
                <w:rFonts w:cs="Times New Roman"/>
                <w:szCs w:val="24"/>
              </w:rPr>
              <w:t xml:space="preserve"> незапосле</w:t>
            </w:r>
            <w:r>
              <w:rPr>
                <w:rFonts w:cs="Times New Roman"/>
                <w:szCs w:val="24"/>
                <w:lang w:val="sr-RS"/>
              </w:rPr>
              <w:t>них</w:t>
            </w:r>
          </w:p>
        </w:tc>
        <w:tc>
          <w:tcPr>
            <w:tcW w:w="1752"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67,1%</w:t>
            </w:r>
          </w:p>
        </w:tc>
        <w:tc>
          <w:tcPr>
            <w:tcW w:w="1529"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Latn-RS"/>
              </w:rPr>
            </w:pPr>
            <w:r>
              <w:rPr>
                <w:rFonts w:cs="Times New Roman"/>
                <w:szCs w:val="24"/>
                <w:lang w:val="sr-Latn-RS"/>
              </w:rPr>
              <w:t>66,98%</w:t>
            </w:r>
          </w:p>
        </w:tc>
        <w:tc>
          <w:tcPr>
            <w:tcW w:w="1706" w:type="dxa"/>
            <w:tcBorders>
              <w:left w:val="single" w:sz="2" w:space="0" w:color="000000"/>
              <w:bottom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RS"/>
              </w:rPr>
            </w:pPr>
            <w:r>
              <w:rPr>
                <w:rFonts w:cs="Times New Roman"/>
                <w:szCs w:val="24"/>
                <w:lang w:val="sr-RS"/>
              </w:rPr>
              <w:t>65,39%</w:t>
            </w:r>
          </w:p>
        </w:tc>
        <w:tc>
          <w:tcPr>
            <w:tcW w:w="1602" w:type="dxa"/>
            <w:tcBorders>
              <w:left w:val="single" w:sz="2" w:space="0" w:color="000000"/>
              <w:bottom w:val="single" w:sz="2" w:space="0" w:color="000000"/>
              <w:right w:val="single" w:sz="2" w:space="0" w:color="000000"/>
            </w:tcBorders>
            <w:shd w:fill="auto" w:val="clear"/>
          </w:tcPr>
          <w:p>
            <w:pPr>
              <w:pStyle w:val="Normal"/>
              <w:tabs>
                <w:tab w:val="clear" w:pos="709"/>
                <w:tab w:val="left" w:pos="2640" w:leader="none"/>
              </w:tabs>
              <w:spacing w:lineRule="exact" w:line="300"/>
              <w:jc w:val="center"/>
              <w:rPr>
                <w:rFonts w:cs="Times New Roman"/>
                <w:szCs w:val="24"/>
                <w:lang w:val="sr-Latn-RS"/>
              </w:rPr>
            </w:pPr>
            <w:r>
              <w:rPr>
                <w:rFonts w:cs="Times New Roman"/>
                <w:szCs w:val="24"/>
                <w:lang w:val="sr-Latn-RS"/>
              </w:rPr>
              <w:t>60,32%</w:t>
            </w:r>
          </w:p>
        </w:tc>
      </w:tr>
    </w:tbl>
    <w:p>
      <w:pPr>
        <w:pStyle w:val="Normal"/>
        <w:spacing w:lineRule="exact" w:line="300"/>
        <w:ind w:left="0" w:right="0" w:firstLine="720"/>
        <w:jc w:val="center"/>
        <w:rPr>
          <w:rFonts w:eastAsia="Times New Roman"/>
          <w:b/>
          <w:b/>
          <w:bCs/>
          <w:i/>
          <w:i/>
        </w:rPr>
      </w:pPr>
      <w:r>
        <w:rPr>
          <w:rFonts w:eastAsia="Times New Roman"/>
          <w:b/>
          <w:bCs/>
          <w:i/>
        </w:rPr>
      </w:r>
    </w:p>
    <w:p>
      <w:pPr>
        <w:pStyle w:val="Normal"/>
        <w:spacing w:lineRule="exact" w:line="300"/>
        <w:ind w:left="0" w:right="0" w:firstLine="720"/>
        <w:jc w:val="center"/>
        <w:rPr>
          <w:rFonts w:eastAsia="Times New Roman"/>
          <w:b/>
          <w:b/>
          <w:bCs/>
          <w:i/>
          <w:i/>
        </w:rPr>
      </w:pPr>
      <w:r>
        <w:rPr>
          <w:rFonts w:eastAsia="Times New Roman"/>
          <w:b/>
          <w:bCs/>
          <w:i/>
        </w:rPr>
      </w:r>
    </w:p>
    <w:p>
      <w:pPr>
        <w:pStyle w:val="Normal"/>
        <w:spacing w:lineRule="exact" w:line="300"/>
        <w:ind w:left="0" w:right="0" w:firstLine="720"/>
        <w:jc w:val="center"/>
        <w:rPr>
          <w:rFonts w:eastAsia="Times New Roman"/>
          <w:b/>
          <w:b/>
          <w:bCs/>
          <w:i/>
          <w:i/>
        </w:rPr>
      </w:pPr>
      <w:r>
        <w:rPr>
          <w:rFonts w:eastAsia="Times New Roman"/>
          <w:b/>
          <w:bCs/>
          <w:i/>
        </w:rPr>
      </w:r>
    </w:p>
    <w:p>
      <w:pPr>
        <w:pStyle w:val="Normal"/>
        <w:spacing w:lineRule="exact" w:line="300"/>
        <w:jc w:val="both"/>
        <w:rPr/>
      </w:pPr>
      <w:r>
        <w:rPr>
          <w:rFonts w:eastAsia="Times New Roman"/>
        </w:rPr>
        <w:t>Када је у питању старосна структура, број незапослених младих од 15-</w:t>
      </w:r>
      <w:r>
        <w:rPr>
          <w:rFonts w:eastAsia="Times New Roman"/>
          <w:lang w:val="sr-RS"/>
        </w:rPr>
        <w:t>30</w:t>
      </w:r>
      <w:r>
        <w:rPr>
          <w:rFonts w:eastAsia="Times New Roman"/>
        </w:rPr>
        <w:t xml:space="preserve"> године се повећао у 201</w:t>
      </w:r>
      <w:r>
        <w:rPr>
          <w:rFonts w:eastAsia="Times New Roman"/>
          <w:lang w:val="sr-RS"/>
        </w:rPr>
        <w:t>9</w:t>
      </w:r>
      <w:r>
        <w:rPr>
          <w:rFonts w:eastAsia="Times New Roman"/>
        </w:rPr>
        <w:t>. у односу на 201</w:t>
      </w:r>
      <w:r>
        <w:rPr>
          <w:rFonts w:eastAsia="Times New Roman"/>
          <w:lang w:val="sr-RS"/>
        </w:rPr>
        <w:t>8</w:t>
      </w:r>
      <w:r>
        <w:rPr>
          <w:rFonts w:eastAsia="Times New Roman"/>
        </w:rPr>
        <w:t>.,  док се број незапослених лица</w:t>
      </w:r>
      <w:r>
        <w:rPr>
          <w:rFonts w:eastAsia="Times New Roman"/>
          <w:lang w:val="sr-RS"/>
        </w:rPr>
        <w:t xml:space="preserve"> старијих од</w:t>
      </w:r>
      <w:r>
        <w:rPr>
          <w:rFonts w:eastAsia="Times New Roman"/>
        </w:rPr>
        <w:t xml:space="preserve"> 50 година  смањио у 201</w:t>
      </w:r>
      <w:r>
        <w:rPr>
          <w:rFonts w:eastAsia="Times New Roman"/>
          <w:lang w:val="sr-RS"/>
        </w:rPr>
        <w:t>9</w:t>
      </w:r>
      <w:r>
        <w:rPr>
          <w:rFonts w:eastAsia="Times New Roman"/>
        </w:rPr>
        <w:t>. години у односу на 201</w:t>
      </w:r>
      <w:r>
        <w:rPr>
          <w:rFonts w:eastAsia="Times New Roman"/>
          <w:lang w:val="sr-RS"/>
        </w:rPr>
        <w:t>8</w:t>
      </w:r>
      <w:r>
        <w:rPr>
          <w:rFonts w:eastAsia="Times New Roman"/>
        </w:rPr>
        <w:t>.</w:t>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jc w:val="center"/>
        <w:rPr/>
      </w:pPr>
      <w:r>
        <w:rPr>
          <w:rFonts w:eastAsia="Times New Roman"/>
          <w:b/>
          <w:i/>
        </w:rPr>
        <w:t>Незапосленост према степену стручне спреме у општини Ћићевац</w:t>
      </w:r>
      <w:bookmarkStart w:id="0" w:name="_GoBack"/>
      <w:bookmarkEnd w:id="0"/>
      <w:r>
        <w:rPr>
          <w:rFonts w:eastAsia="Times New Roman"/>
          <w:b/>
          <w:i/>
        </w:rPr>
        <w:t xml:space="preserve">, </w:t>
      </w:r>
    </w:p>
    <w:p>
      <w:pPr>
        <w:pStyle w:val="Normal"/>
        <w:spacing w:lineRule="exact" w:line="300"/>
        <w:jc w:val="center"/>
        <w:rPr/>
      </w:pPr>
      <w:r>
        <w:rPr>
          <w:rFonts w:eastAsia="Times New Roman"/>
          <w:b/>
          <w:i/>
        </w:rPr>
        <w:t xml:space="preserve">на дан </w:t>
      </w:r>
      <w:r>
        <w:rPr>
          <w:rFonts w:eastAsia="Times New Roman"/>
          <w:b/>
          <w:i/>
          <w:lang w:val="sr-RS"/>
        </w:rPr>
        <w:t>30.11.2019</w:t>
      </w:r>
      <w:r>
        <w:rPr>
          <w:rFonts w:eastAsia="Times New Roman"/>
          <w:b/>
          <w:i/>
        </w:rPr>
        <w:t>. године</w:t>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tbl>
      <w:tblPr>
        <w:tblW w:w="10121" w:type="dxa"/>
        <w:jc w:val="center"/>
        <w:tblInd w:w="0" w:type="dxa"/>
        <w:tblCellMar>
          <w:top w:w="0" w:type="dxa"/>
          <w:left w:w="108" w:type="dxa"/>
          <w:bottom w:w="0" w:type="dxa"/>
          <w:right w:w="108" w:type="dxa"/>
        </w:tblCellMar>
      </w:tblPr>
      <w:tblGrid>
        <w:gridCol w:w="1607"/>
        <w:gridCol w:w="847"/>
        <w:gridCol w:w="847"/>
        <w:gridCol w:w="847"/>
        <w:gridCol w:w="847"/>
        <w:gridCol w:w="849"/>
        <w:gridCol w:w="850"/>
        <w:gridCol w:w="847"/>
        <w:gridCol w:w="847"/>
        <w:gridCol w:w="847"/>
        <w:gridCol w:w="884"/>
      </w:tblGrid>
      <w:tr>
        <w:trPr>
          <w:trHeight w:val="305" w:hRule="atLeast"/>
        </w:trPr>
        <w:tc>
          <w:tcPr>
            <w:tcW w:w="1607"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exact" w:line="300"/>
              <w:rPr>
                <w:rFonts w:eastAsia="Times New Roman" w:cs="Times New Roman"/>
                <w:color w:val="000000"/>
                <w:szCs w:val="24"/>
              </w:rPr>
            </w:pPr>
            <w:r>
              <w:rPr>
                <w:rFonts w:eastAsia="Times New Roman" w:cs="Times New Roman"/>
                <w:color w:val="000000"/>
                <w:szCs w:val="24"/>
              </w:rPr>
              <w:t xml:space="preserve">Број незапослених </w:t>
            </w:r>
          </w:p>
        </w:tc>
        <w:tc>
          <w:tcPr>
            <w:tcW w:w="8512" w:type="dxa"/>
            <w:gridSpan w:val="10"/>
            <w:tcBorders>
              <w:top w:val="single" w:sz="8" w:space="0" w:color="000000"/>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ru-RU"/>
              </w:rPr>
            </w:pPr>
            <w:r>
              <w:rPr>
                <w:rFonts w:eastAsia="Times New Roman" w:cs="Times New Roman"/>
                <w:color w:val="000000"/>
                <w:szCs w:val="24"/>
                <w:lang w:val="ru-RU"/>
              </w:rPr>
              <w:t>Степен стручне спреме</w:t>
            </w:r>
          </w:p>
        </w:tc>
      </w:tr>
      <w:tr>
        <w:trPr>
          <w:trHeight w:val="277" w:hRule="atLeast"/>
        </w:trPr>
        <w:tc>
          <w:tcPr>
            <w:tcW w:w="1607"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I</w:t>
            </w:r>
          </w:p>
        </w:tc>
        <w:tc>
          <w:tcPr>
            <w:tcW w:w="847" w:type="dxa"/>
            <w:tcBorders>
              <w:bottom w:val="single" w:sz="8" w:space="0" w:color="000000"/>
              <w:right w:val="single" w:sz="4"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II</w:t>
            </w:r>
          </w:p>
        </w:tc>
        <w:tc>
          <w:tcPr>
            <w:tcW w:w="847" w:type="dxa"/>
            <w:tcBorders>
              <w:left w:val="single" w:sz="4" w:space="0" w:color="000000"/>
              <w:bottom w:val="single" w:sz="8" w:space="0" w:color="000000"/>
              <w:right w:val="single" w:sz="8" w:space="0" w:color="000000"/>
            </w:tcBorders>
            <w:shd w:fill="auto" w:val="clear"/>
            <w:tcMar>
              <w:left w:w="10" w:type="dxa"/>
              <w:right w:w="10" w:type="dxa"/>
            </w:tcM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III</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IV</w:t>
            </w:r>
          </w:p>
        </w:tc>
        <w:tc>
          <w:tcPr>
            <w:tcW w:w="849"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V</w:t>
            </w:r>
          </w:p>
        </w:tc>
        <w:tc>
          <w:tcPr>
            <w:tcW w:w="850"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VI-1</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VI-2</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VII-1</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t xml:space="preserve">VII-2 </w:t>
            </w:r>
          </w:p>
        </w:tc>
        <w:tc>
          <w:tcPr>
            <w:tcW w:w="884" w:type="dxa"/>
            <w:tcBorders>
              <w:bottom w:val="single" w:sz="8" w:space="0" w:color="000000"/>
              <w:right w:val="single" w:sz="8" w:space="0" w:color="000000"/>
            </w:tcBorders>
            <w:shd w:fill="auto" w:val="clear"/>
            <w:tcMar>
              <w:left w:w="10" w:type="dxa"/>
              <w:right w:w="10" w:type="dxa"/>
            </w:tcMa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VIII</w:t>
            </w:r>
          </w:p>
        </w:tc>
      </w:tr>
      <w:tr>
        <w:trPr>
          <w:trHeight w:val="305" w:hRule="atLeast"/>
        </w:trPr>
        <w:tc>
          <w:tcPr>
            <w:tcW w:w="1607" w:type="dxa"/>
            <w:tcBorders>
              <w:left w:val="single" w:sz="8" w:space="0" w:color="000000"/>
              <w:bottom w:val="single" w:sz="8" w:space="0" w:color="000000"/>
              <w:right w:val="single" w:sz="8" w:space="0" w:color="000000"/>
            </w:tcBorders>
            <w:shd w:fill="auto" w:val="clear"/>
            <w:vAlign w:val="center"/>
          </w:tcPr>
          <w:p>
            <w:pPr>
              <w:pStyle w:val="Normal"/>
              <w:spacing w:lineRule="exact" w:line="300"/>
              <w:rPr>
                <w:rFonts w:eastAsia="Times New Roman" w:cs="Times New Roman"/>
                <w:color w:val="000000"/>
                <w:szCs w:val="24"/>
                <w:lang w:val="ru-RU"/>
              </w:rPr>
            </w:pPr>
            <w:r>
              <w:rPr>
                <w:rFonts w:eastAsia="Times New Roman" w:cs="Times New Roman"/>
                <w:color w:val="000000"/>
                <w:szCs w:val="24"/>
                <w:lang w:val="ru-RU"/>
              </w:rPr>
              <w:t>Укупно</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204</w:t>
            </w:r>
          </w:p>
        </w:tc>
        <w:tc>
          <w:tcPr>
            <w:tcW w:w="847" w:type="dxa"/>
            <w:tcBorders>
              <w:top w:val="single" w:sz="8" w:space="0" w:color="000000"/>
              <w:bottom w:val="single" w:sz="8" w:space="0" w:color="000000"/>
              <w:right w:val="single" w:sz="4"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16</w:t>
            </w:r>
          </w:p>
        </w:tc>
        <w:tc>
          <w:tcPr>
            <w:tcW w:w="847" w:type="dxa"/>
            <w:tcBorders>
              <w:top w:val="single" w:sz="8" w:space="0" w:color="000000"/>
              <w:left w:val="single" w:sz="4" w:space="0" w:color="000000"/>
              <w:bottom w:val="single" w:sz="8" w:space="0" w:color="000000"/>
              <w:right w:val="single" w:sz="8" w:space="0" w:color="000000"/>
            </w:tcBorders>
            <w:shd w:fill="auto" w:val="clear"/>
            <w:tcMar>
              <w:left w:w="10" w:type="dxa"/>
              <w:right w:w="10" w:type="dxa"/>
            </w:tcM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97</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114</w:t>
            </w:r>
          </w:p>
        </w:tc>
        <w:tc>
          <w:tcPr>
            <w:tcW w:w="849"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2</w:t>
            </w:r>
          </w:p>
        </w:tc>
        <w:tc>
          <w:tcPr>
            <w:tcW w:w="850"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10</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7</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6</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r>
          </w:p>
        </w:tc>
        <w:tc>
          <w:tcPr>
            <w:tcW w:w="884" w:type="dxa"/>
            <w:tcBorders>
              <w:bottom w:val="single" w:sz="8" w:space="0" w:color="000000"/>
              <w:right w:val="single" w:sz="8" w:space="0" w:color="000000"/>
            </w:tcBorders>
            <w:shd w:fill="auto" w:val="clear"/>
            <w:tcMar>
              <w:left w:w="10" w:type="dxa"/>
              <w:right w:w="10" w:type="dxa"/>
            </w:tcMar>
          </w:tcPr>
          <w:p>
            <w:pPr>
              <w:pStyle w:val="Normal"/>
              <w:spacing w:lineRule="exact" w:line="300"/>
              <w:jc w:val="center"/>
              <w:rPr>
                <w:rFonts w:eastAsia="Times New Roman" w:cs="Times New Roman"/>
                <w:color w:val="000000"/>
                <w:szCs w:val="24"/>
              </w:rPr>
            </w:pPr>
            <w:r>
              <w:rPr>
                <w:rFonts w:eastAsia="Times New Roman" w:cs="Times New Roman"/>
                <w:color w:val="000000"/>
                <w:szCs w:val="24"/>
              </w:rPr>
            </w:r>
          </w:p>
        </w:tc>
      </w:tr>
      <w:tr>
        <w:trPr>
          <w:trHeight w:val="291" w:hRule="atLeast"/>
        </w:trPr>
        <w:tc>
          <w:tcPr>
            <w:tcW w:w="1607" w:type="dxa"/>
            <w:tcBorders>
              <w:left w:val="single" w:sz="8" w:space="0" w:color="000000"/>
              <w:bottom w:val="single" w:sz="8" w:space="0" w:color="000000"/>
              <w:right w:val="single" w:sz="8" w:space="0" w:color="000000"/>
            </w:tcBorders>
            <w:shd w:fill="auto" w:val="clear"/>
            <w:vAlign w:val="center"/>
          </w:tcPr>
          <w:p>
            <w:pPr>
              <w:pStyle w:val="Normal"/>
              <w:spacing w:lineRule="exact" w:line="300"/>
              <w:rPr>
                <w:rFonts w:eastAsia="Times New Roman" w:cs="Times New Roman"/>
                <w:color w:val="000000"/>
                <w:szCs w:val="24"/>
                <w:lang w:val="ru-RU"/>
              </w:rPr>
            </w:pPr>
            <w:r>
              <w:rPr>
                <w:rFonts w:eastAsia="Times New Roman" w:cs="Times New Roman"/>
                <w:color w:val="000000"/>
                <w:szCs w:val="24"/>
                <w:lang w:val="ru-RU"/>
              </w:rPr>
              <w:t>Жене</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131</w:t>
            </w:r>
          </w:p>
        </w:tc>
        <w:tc>
          <w:tcPr>
            <w:tcW w:w="847" w:type="dxa"/>
            <w:tcBorders>
              <w:top w:val="single" w:sz="8" w:space="0" w:color="000000"/>
              <w:bottom w:val="single" w:sz="8" w:space="0" w:color="000000"/>
              <w:right w:val="single" w:sz="4"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14</w:t>
            </w:r>
          </w:p>
        </w:tc>
        <w:tc>
          <w:tcPr>
            <w:tcW w:w="847" w:type="dxa"/>
            <w:tcBorders>
              <w:top w:val="single" w:sz="8" w:space="0" w:color="000000"/>
              <w:left w:val="single" w:sz="4" w:space="0" w:color="000000"/>
              <w:bottom w:val="single" w:sz="8" w:space="0" w:color="000000"/>
              <w:right w:val="single" w:sz="8" w:space="0" w:color="000000"/>
            </w:tcBorders>
            <w:shd w:fill="auto" w:val="clear"/>
            <w:tcMar>
              <w:left w:w="10" w:type="dxa"/>
              <w:right w:w="10" w:type="dxa"/>
            </w:tcM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54</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77</w:t>
            </w:r>
          </w:p>
        </w:tc>
        <w:tc>
          <w:tcPr>
            <w:tcW w:w="849"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0</w:t>
            </w:r>
          </w:p>
        </w:tc>
        <w:tc>
          <w:tcPr>
            <w:tcW w:w="850"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8</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7</w:t>
            </w:r>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lang w:val="sr-Latn-RS"/>
              </w:rPr>
            </w:pPr>
            <w:r>
              <w:rPr>
                <w:rFonts w:eastAsia="Times New Roman" w:cs="Times New Roman"/>
                <w:color w:val="000000"/>
                <w:szCs w:val="24"/>
                <w:lang w:val="sr-Latn-RS"/>
              </w:rPr>
              <w:t>1</w:t>
            </w:r>
            <w:bookmarkStart w:id="1" w:name="_GoBack1"/>
            <w:bookmarkEnd w:id="1"/>
          </w:p>
        </w:tc>
        <w:tc>
          <w:tcPr>
            <w:tcW w:w="847" w:type="dxa"/>
            <w:tcBorders>
              <w:bottom w:val="single" w:sz="8" w:space="0" w:color="000000"/>
              <w:right w:val="single" w:sz="8" w:space="0" w:color="000000"/>
            </w:tcBorders>
            <w:shd w:fill="auto" w:val="clear"/>
            <w:vAlign w:val="center"/>
          </w:tcPr>
          <w:p>
            <w:pPr>
              <w:pStyle w:val="Normal"/>
              <w:spacing w:lineRule="exact" w:line="300"/>
              <w:jc w:val="center"/>
              <w:rPr>
                <w:rFonts w:eastAsia="Times New Roman" w:cs="Times New Roman"/>
                <w:color w:val="000000"/>
                <w:szCs w:val="24"/>
              </w:rPr>
            </w:pPr>
            <w:r>
              <w:rPr>
                <w:rFonts w:eastAsia="Times New Roman" w:cs="Times New Roman"/>
                <w:color w:val="000000"/>
                <w:szCs w:val="24"/>
              </w:rPr>
            </w:r>
          </w:p>
        </w:tc>
        <w:tc>
          <w:tcPr>
            <w:tcW w:w="884" w:type="dxa"/>
            <w:tcBorders>
              <w:bottom w:val="single" w:sz="8" w:space="0" w:color="000000"/>
              <w:right w:val="single" w:sz="8" w:space="0" w:color="000000"/>
            </w:tcBorders>
            <w:shd w:fill="auto" w:val="clear"/>
            <w:tcMar>
              <w:left w:w="10" w:type="dxa"/>
              <w:right w:w="10" w:type="dxa"/>
            </w:tcMar>
          </w:tcPr>
          <w:p>
            <w:pPr>
              <w:pStyle w:val="Normal"/>
              <w:spacing w:lineRule="exact" w:line="300"/>
              <w:jc w:val="center"/>
              <w:rPr>
                <w:rFonts w:eastAsia="Times New Roman" w:cs="Times New Roman"/>
                <w:color w:val="000000"/>
                <w:szCs w:val="24"/>
              </w:rPr>
            </w:pPr>
            <w:r>
              <w:rPr>
                <w:rFonts w:eastAsia="Times New Roman" w:cs="Times New Roman"/>
                <w:color w:val="000000"/>
                <w:szCs w:val="24"/>
              </w:rPr>
            </w:r>
          </w:p>
        </w:tc>
      </w:tr>
    </w:tbl>
    <w:p>
      <w:pPr>
        <w:pStyle w:val="Normal"/>
        <w:spacing w:lineRule="exact" w:line="300"/>
        <w:jc w:val="center"/>
        <w:rPr>
          <w:rFonts w:eastAsia="Times New Roman"/>
          <w:b/>
          <w:b/>
          <w:i/>
          <w:i/>
        </w:rPr>
      </w:pPr>
      <w:r>
        <w:rPr>
          <w:rFonts w:eastAsia="Times New Roman"/>
          <w:b/>
          <w:i/>
        </w:rPr>
      </w:r>
    </w:p>
    <w:p>
      <w:pPr>
        <w:pStyle w:val="Normal"/>
        <w:spacing w:lineRule="exact" w:line="300"/>
        <w:rPr>
          <w:rFonts w:eastAsia="Times New Roman"/>
        </w:rPr>
      </w:pPr>
      <w:r>
        <w:rPr>
          <w:rFonts w:eastAsia="Times New Roman"/>
        </w:rPr>
      </w:r>
    </w:p>
    <w:p>
      <w:pPr>
        <w:pStyle w:val="Normal"/>
        <w:tabs>
          <w:tab w:val="clear" w:pos="709"/>
          <w:tab w:val="left" w:pos="2640" w:leader="none"/>
        </w:tabs>
        <w:jc w:val="both"/>
        <w:rPr/>
      </w:pPr>
      <w:r>
        <w:rPr/>
        <w:t xml:space="preserve">Највећи удео у броју незапослених лица према степену стручне спрема имају лица са I степеном стручне спреме, укупно </w:t>
      </w:r>
      <w:r>
        <w:rPr>
          <w:rFonts w:eastAsia="Arial Unicode MS" w:cs="Times New Roman"/>
          <w:color w:val="auto"/>
          <w:kern w:val="2"/>
          <w:sz w:val="24"/>
          <w:szCs w:val="24"/>
          <w:lang w:val="sr-RS" w:eastAsia="en-US" w:bidi="ar-SA"/>
        </w:rPr>
        <w:t xml:space="preserve">204 </w:t>
      </w:r>
      <w:r>
        <w:rPr/>
        <w:t xml:space="preserve">лица.  </w:t>
      </w:r>
    </w:p>
    <w:p>
      <w:pPr>
        <w:pStyle w:val="Normal"/>
        <w:tabs>
          <w:tab w:val="clear" w:pos="709"/>
          <w:tab w:val="left" w:pos="2640" w:leader="none"/>
        </w:tabs>
        <w:jc w:val="both"/>
        <w:rPr/>
      </w:pPr>
      <w:r>
        <w:rPr/>
      </w:r>
    </w:p>
    <w:p>
      <w:pPr>
        <w:pStyle w:val="Normal"/>
        <w:tabs>
          <w:tab w:val="clear" w:pos="709"/>
          <w:tab w:val="left" w:pos="2640" w:leader="none"/>
        </w:tabs>
        <w:jc w:val="both"/>
        <w:rPr>
          <w:sz w:val="14"/>
        </w:rPr>
      </w:pPr>
      <w:r>
        <w:rPr>
          <w:sz w:val="14"/>
        </w:rPr>
      </w:r>
    </w:p>
    <w:p>
      <w:pPr>
        <w:pStyle w:val="Normal"/>
        <w:tabs>
          <w:tab w:val="clear" w:pos="709"/>
          <w:tab w:val="left" w:pos="2640" w:leader="none"/>
        </w:tabs>
        <w:jc w:val="center"/>
        <w:rPr>
          <w:b/>
          <w:b/>
          <w:i/>
          <w:i/>
        </w:rPr>
      </w:pPr>
      <w:r>
        <w:rPr>
          <w:b/>
          <w:i/>
        </w:rPr>
        <w:t xml:space="preserve">Незапослена лица према трајању незапослености и полу у општини Ћићевац </w:t>
      </w:r>
    </w:p>
    <w:p>
      <w:pPr>
        <w:pStyle w:val="Normal"/>
        <w:tabs>
          <w:tab w:val="clear" w:pos="709"/>
          <w:tab w:val="left" w:pos="2640" w:leader="none"/>
        </w:tabs>
        <w:jc w:val="center"/>
        <w:rPr/>
      </w:pPr>
      <w:r>
        <w:rPr>
          <w:b/>
          <w:i/>
        </w:rPr>
        <w:t xml:space="preserve">на крају </w:t>
      </w:r>
      <w:r>
        <w:rPr>
          <w:rFonts w:eastAsia="Arial Unicode MS" w:cs="Times New Roman"/>
          <w:b/>
          <w:i/>
          <w:color w:val="auto"/>
          <w:kern w:val="2"/>
          <w:sz w:val="24"/>
          <w:szCs w:val="24"/>
          <w:lang w:val="sr-RS" w:eastAsia="en-US" w:bidi="ar-SA"/>
        </w:rPr>
        <w:t>новембра</w:t>
      </w:r>
      <w:r>
        <w:rPr>
          <w:b/>
          <w:i/>
        </w:rPr>
        <w:t xml:space="preserve"> 201</w:t>
      </w:r>
      <w:r>
        <w:rPr>
          <w:b/>
          <w:i/>
          <w:lang w:val="sr-RS"/>
        </w:rPr>
        <w:t>9</w:t>
      </w:r>
      <w:r>
        <w:rPr>
          <w:b/>
          <w:i/>
        </w:rPr>
        <w:t>. године</w:t>
      </w:r>
    </w:p>
    <w:tbl>
      <w:tblPr>
        <w:tblW w:w="9853" w:type="dxa"/>
        <w:jc w:val="left"/>
        <w:tblInd w:w="0" w:type="dxa"/>
        <w:tblCellMar>
          <w:top w:w="0" w:type="dxa"/>
          <w:left w:w="108" w:type="dxa"/>
          <w:bottom w:w="0" w:type="dxa"/>
          <w:right w:w="108" w:type="dxa"/>
        </w:tblCellMar>
      </w:tblPr>
      <w:tblGrid>
        <w:gridCol w:w="2681"/>
        <w:gridCol w:w="2385"/>
        <w:gridCol w:w="2385"/>
        <w:gridCol w:w="2401"/>
      </w:tblGrid>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ЋИЋЕВАЦ</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жене</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мушкарци</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укупно</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До 3 месеца</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5</w:t>
            </w:r>
            <w:r>
              <w:rPr>
                <w:sz w:val="22"/>
                <w:szCs w:val="22"/>
                <w:lang w:val="en-US"/>
              </w:rPr>
              <w:t>1</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62</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1</w:t>
            </w:r>
            <w:r>
              <w:rPr>
                <w:rFonts w:eastAsia="Arial Unicode MS" w:cs="Times New Roman"/>
                <w:color w:val="auto"/>
                <w:kern w:val="2"/>
                <w:sz w:val="22"/>
                <w:szCs w:val="22"/>
                <w:lang w:val="en-US" w:eastAsia="en-US" w:bidi="ar-SA"/>
              </w:rPr>
              <w:t>13</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3-6</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32</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3</w:t>
            </w:r>
            <w:r>
              <w:rPr>
                <w:sz w:val="22"/>
                <w:szCs w:val="22"/>
                <w:lang w:val="en-US"/>
              </w:rPr>
              <w:t>4</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66</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6-9</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3</w:t>
            </w:r>
            <w:r>
              <w:rPr>
                <w:sz w:val="22"/>
                <w:szCs w:val="22"/>
                <w:lang w:val="en-US"/>
              </w:rPr>
              <w:t>4</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17</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51</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9-12</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33</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37</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70</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1-2 године</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78</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4</w:t>
            </w:r>
            <w:r>
              <w:rPr>
                <w:rFonts w:eastAsia="Arial Unicode MS" w:cs="Times New Roman"/>
                <w:color w:val="auto"/>
                <w:kern w:val="2"/>
                <w:sz w:val="22"/>
                <w:szCs w:val="22"/>
                <w:lang w:val="en-US" w:eastAsia="en-US" w:bidi="ar-SA"/>
              </w:rPr>
              <w:t>3</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1</w:t>
            </w:r>
            <w:r>
              <w:rPr>
                <w:rFonts w:eastAsia="Arial Unicode MS" w:cs="Times New Roman"/>
                <w:color w:val="auto"/>
                <w:kern w:val="2"/>
                <w:sz w:val="22"/>
                <w:szCs w:val="22"/>
                <w:lang w:val="en-US" w:eastAsia="en-US" w:bidi="ar-SA"/>
              </w:rPr>
              <w:t>21</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2-3 године</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29</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2</w:t>
            </w:r>
            <w:r>
              <w:rPr>
                <w:rFonts w:eastAsia="Arial Unicode MS" w:cs="Times New Roman"/>
                <w:color w:val="auto"/>
                <w:kern w:val="2"/>
                <w:sz w:val="22"/>
                <w:szCs w:val="22"/>
                <w:lang w:val="en-US" w:eastAsia="en-US" w:bidi="ar-SA"/>
              </w:rPr>
              <w:t>4</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53</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3-5 године</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6</w:t>
            </w:r>
            <w:r>
              <w:rPr>
                <w:sz w:val="22"/>
                <w:szCs w:val="22"/>
                <w:lang w:val="en-US"/>
              </w:rPr>
              <w:t>5</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lang w:val="en-US"/>
              </w:rPr>
              <w:t>3</w:t>
            </w:r>
            <w:r>
              <w:rPr>
                <w:sz w:val="22"/>
                <w:szCs w:val="22"/>
              </w:rPr>
              <w:t>0</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95</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5-8 године</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lang w:val="en-US"/>
              </w:rPr>
            </w:pPr>
            <w:r>
              <w:rPr>
                <w:sz w:val="22"/>
                <w:szCs w:val="22"/>
                <w:lang w:val="en-US"/>
              </w:rPr>
              <w:t>38</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lang w:val="en-US"/>
              </w:rPr>
            </w:pPr>
            <w:r>
              <w:rPr>
                <w:sz w:val="22"/>
                <w:szCs w:val="22"/>
                <w:lang w:val="en-US"/>
              </w:rPr>
              <w:t>32</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70</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8-10 година</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24</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1</w:t>
            </w:r>
            <w:r>
              <w:rPr>
                <w:sz w:val="22"/>
                <w:szCs w:val="22"/>
                <w:lang w:val="en-US"/>
              </w:rPr>
              <w:t>1</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3</w:t>
            </w:r>
            <w:r>
              <w:rPr>
                <w:sz w:val="22"/>
                <w:szCs w:val="22"/>
                <w:lang w:val="en-US"/>
              </w:rPr>
              <w:t>5</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Преко 10 година</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58</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24</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82</w:t>
            </w:r>
          </w:p>
        </w:tc>
      </w:tr>
      <w:tr>
        <w:trPr/>
        <w:tc>
          <w:tcPr>
            <w:tcW w:w="268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rPr>
            </w:pPr>
            <w:r>
              <w:rPr>
                <w:sz w:val="22"/>
                <w:szCs w:val="22"/>
              </w:rPr>
              <w:t>УКУПНО</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pPr>
            <w:r>
              <w:rPr>
                <w:sz w:val="22"/>
                <w:szCs w:val="22"/>
              </w:rPr>
              <w:t>4</w:t>
            </w:r>
            <w:r>
              <w:rPr>
                <w:sz w:val="22"/>
                <w:szCs w:val="22"/>
                <w:lang w:val="en-US"/>
              </w:rPr>
              <w:t>42</w:t>
            </w:r>
          </w:p>
        </w:tc>
        <w:tc>
          <w:tcPr>
            <w:tcW w:w="23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sz w:val="22"/>
                <w:szCs w:val="22"/>
                <w:lang w:val="en-US"/>
              </w:rPr>
            </w:pPr>
            <w:r>
              <w:rPr>
                <w:sz w:val="22"/>
                <w:szCs w:val="22"/>
                <w:lang w:val="en-US"/>
              </w:rPr>
              <w:t>314</w:t>
            </w:r>
          </w:p>
        </w:tc>
        <w:tc>
          <w:tcPr>
            <w:tcW w:w="240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center"/>
              <w:rPr>
                <w:rFonts w:eastAsia="Arial Unicode MS" w:cs="Times New Roman"/>
                <w:color w:val="auto"/>
                <w:kern w:val="2"/>
                <w:sz w:val="22"/>
                <w:szCs w:val="22"/>
                <w:lang w:val="en-US" w:eastAsia="en-US" w:bidi="ar-SA"/>
              </w:rPr>
            </w:pPr>
            <w:r>
              <w:rPr>
                <w:rFonts w:eastAsia="Arial Unicode MS" w:cs="Times New Roman"/>
                <w:color w:val="auto"/>
                <w:kern w:val="2"/>
                <w:sz w:val="22"/>
                <w:szCs w:val="22"/>
                <w:lang w:val="en-US" w:eastAsia="en-US" w:bidi="ar-SA"/>
              </w:rPr>
              <w:t>756</w:t>
            </w:r>
          </w:p>
        </w:tc>
      </w:tr>
    </w:tbl>
    <w:p>
      <w:pPr>
        <w:pStyle w:val="Normal"/>
        <w:tabs>
          <w:tab w:val="clear" w:pos="709"/>
          <w:tab w:val="left" w:pos="2640" w:leader="none"/>
        </w:tabs>
        <w:jc w:val="center"/>
        <w:rPr/>
      </w:pPr>
      <w:r>
        <w:rPr/>
      </w:r>
    </w:p>
    <w:p>
      <w:pPr>
        <w:pStyle w:val="Normal"/>
        <w:tabs>
          <w:tab w:val="clear" w:pos="709"/>
          <w:tab w:val="left" w:pos="2640" w:leader="none"/>
        </w:tabs>
        <w:jc w:val="both"/>
        <w:rPr/>
      </w:pPr>
      <w:r>
        <w:rPr/>
        <w:t xml:space="preserve">Највећи број лица налази се на евиденцији незапослених </w:t>
      </w:r>
      <w:r>
        <w:rPr>
          <w:rFonts w:eastAsia="Arial Unicode MS" w:cs="Times New Roman"/>
          <w:color w:val="auto"/>
          <w:kern w:val="2"/>
          <w:sz w:val="24"/>
          <w:szCs w:val="24"/>
          <w:lang w:val="sr-RS" w:eastAsia="en-US" w:bidi="ar-SA"/>
        </w:rPr>
        <w:t>од 1-2 године</w:t>
      </w:r>
      <w:r>
        <w:rPr/>
        <w:t>, укупно 1</w:t>
      </w:r>
      <w:r>
        <w:rPr>
          <w:lang w:val="sr-RS"/>
        </w:rPr>
        <w:t>21</w:t>
      </w:r>
      <w:r>
        <w:rPr/>
        <w:t xml:space="preserve"> лица. </w:t>
      </w:r>
    </w:p>
    <w:p>
      <w:pPr>
        <w:pStyle w:val="Normal"/>
        <w:tabs>
          <w:tab w:val="clear" w:pos="709"/>
          <w:tab w:val="left" w:pos="2640" w:leader="none"/>
        </w:tabs>
        <w:jc w:val="center"/>
        <w:rPr>
          <w:b/>
          <w:b/>
          <w:i/>
          <w:i/>
        </w:rPr>
      </w:pPr>
      <w:r>
        <w:rPr>
          <w:b/>
          <w:i/>
        </w:rPr>
      </w:r>
    </w:p>
    <w:p>
      <w:pPr>
        <w:pStyle w:val="Normal"/>
        <w:tabs>
          <w:tab w:val="clear" w:pos="709"/>
          <w:tab w:val="left" w:pos="2700" w:leader="none"/>
        </w:tabs>
        <w:jc w:val="center"/>
        <w:rPr>
          <w:b/>
          <w:b/>
          <w:i/>
          <w:i/>
          <w:lang w:val="sr-RS"/>
        </w:rPr>
      </w:pPr>
      <w:r>
        <w:rPr>
          <w:b/>
          <w:i/>
          <w:lang w:val="sr-RS"/>
        </w:rPr>
        <w:t>Запослени са евиденције по месецима  у 2018. и 2019. години</w:t>
      </w:r>
    </w:p>
    <w:p>
      <w:pPr>
        <w:pStyle w:val="Normal"/>
        <w:tabs>
          <w:tab w:val="clear" w:pos="709"/>
          <w:tab w:val="left" w:pos="2700" w:leader="none"/>
        </w:tabs>
        <w:jc w:val="center"/>
        <w:rPr>
          <w:b/>
          <w:b/>
          <w:i/>
          <w:i/>
        </w:rPr>
      </w:pPr>
      <w:r>
        <w:rPr>
          <w:b/>
          <w:i/>
        </w:rPr>
      </w:r>
    </w:p>
    <w:tbl>
      <w:tblPr>
        <w:tblW w:w="9853" w:type="dxa"/>
        <w:jc w:val="left"/>
        <w:tblInd w:w="0" w:type="dxa"/>
        <w:tblCellMar>
          <w:top w:w="0" w:type="dxa"/>
          <w:left w:w="108" w:type="dxa"/>
          <w:bottom w:w="0" w:type="dxa"/>
          <w:right w:w="108" w:type="dxa"/>
        </w:tblCellMar>
      </w:tblPr>
      <w:tblGrid>
        <w:gridCol w:w="3284"/>
        <w:gridCol w:w="3284"/>
        <w:gridCol w:w="3285"/>
      </w:tblGrid>
      <w:tr>
        <w:trPr/>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pPr>
            <w:r>
              <w:rPr/>
              <w:t>Назив општине</w:t>
            </w:r>
          </w:p>
        </w:tc>
        <w:tc>
          <w:tcPr>
            <w:tcW w:w="656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pPr>
            <w:r>
              <w:rPr/>
            </w:r>
          </w:p>
          <w:p>
            <w:pPr>
              <w:pStyle w:val="Normal"/>
              <w:tabs>
                <w:tab w:val="clear" w:pos="709"/>
                <w:tab w:val="left" w:pos="2700" w:leader="none"/>
              </w:tabs>
              <w:jc w:val="center"/>
              <w:rPr>
                <w:lang w:val="en-US"/>
              </w:rPr>
            </w:pPr>
            <w:r>
              <w:rPr>
                <w:lang w:val="en-US"/>
              </w:rPr>
              <w:t>Ћићевац</w:t>
            </w:r>
          </w:p>
        </w:tc>
      </w:tr>
      <w:tr>
        <w:trPr/>
        <w:tc>
          <w:tcPr>
            <w:tcW w:w="328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pPr>
            <w:r>
              <w:rPr/>
            </w:r>
          </w:p>
          <w:p>
            <w:pPr>
              <w:pStyle w:val="Normal"/>
              <w:tabs>
                <w:tab w:val="clear" w:pos="709"/>
                <w:tab w:val="left" w:pos="2700" w:leader="none"/>
              </w:tabs>
              <w:jc w:val="center"/>
              <w:rPr/>
            </w:pPr>
            <w:r>
              <w:rPr/>
            </w:r>
          </w:p>
          <w:p>
            <w:pPr>
              <w:pStyle w:val="Normal"/>
              <w:tabs>
                <w:tab w:val="clear" w:pos="709"/>
                <w:tab w:val="left" w:pos="2700" w:leader="none"/>
              </w:tabs>
              <w:jc w:val="center"/>
              <w:rPr/>
            </w:pPr>
            <w:r>
              <w:rPr/>
            </w:r>
          </w:p>
          <w:p>
            <w:pPr>
              <w:pStyle w:val="Normal"/>
              <w:tabs>
                <w:tab w:val="clear" w:pos="709"/>
                <w:tab w:val="left" w:pos="2700" w:leader="none"/>
              </w:tabs>
              <w:jc w:val="center"/>
              <w:rPr>
                <w:lang w:val="en-US"/>
              </w:rPr>
            </w:pPr>
            <w:r>
              <w:rPr>
                <w:lang w:val="en-US"/>
              </w:rPr>
            </w:r>
          </w:p>
          <w:p>
            <w:pPr>
              <w:pStyle w:val="Normal"/>
              <w:tabs>
                <w:tab w:val="clear" w:pos="709"/>
                <w:tab w:val="left" w:pos="2700" w:leader="none"/>
              </w:tabs>
              <w:jc w:val="center"/>
              <w:rPr/>
            </w:pPr>
            <w:r>
              <w:rPr/>
              <w:t>201</w:t>
            </w:r>
            <w:r>
              <w:rPr>
                <w:lang w:val="sr-RS"/>
              </w:rPr>
              <w:t>8</w:t>
            </w:r>
            <w:r>
              <w:rPr/>
              <w:t>.</w:t>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27</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23</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35</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IV</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24</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37</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28</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26</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VIII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31</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IX</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70</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X</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32</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XI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sr-RS"/>
              </w:rPr>
            </w:pPr>
            <w:r>
              <w:rPr>
                <w:lang w:val="sr-RS"/>
              </w:rPr>
              <w:t>21</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XII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sr-RS"/>
              </w:rPr>
            </w:pPr>
            <w:r>
              <w:rPr>
                <w:lang w:val="sr-RS"/>
              </w:rPr>
              <w:t>30</w:t>
            </w:r>
          </w:p>
        </w:tc>
      </w:tr>
      <w:tr>
        <w:trPr/>
        <w:tc>
          <w:tcPr>
            <w:tcW w:w="328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pPr>
            <w:r>
              <w:rPr/>
            </w:r>
          </w:p>
          <w:p>
            <w:pPr>
              <w:pStyle w:val="Normal"/>
              <w:tabs>
                <w:tab w:val="clear" w:pos="709"/>
                <w:tab w:val="left" w:pos="2700" w:leader="none"/>
              </w:tabs>
              <w:jc w:val="center"/>
              <w:rPr/>
            </w:pPr>
            <w:r>
              <w:rPr/>
            </w:r>
          </w:p>
          <w:p>
            <w:pPr>
              <w:pStyle w:val="Normal"/>
              <w:tabs>
                <w:tab w:val="clear" w:pos="709"/>
                <w:tab w:val="left" w:pos="2700" w:leader="none"/>
              </w:tabs>
              <w:jc w:val="center"/>
              <w:rPr/>
            </w:pPr>
            <w:r>
              <w:rPr/>
            </w:r>
          </w:p>
          <w:p>
            <w:pPr>
              <w:pStyle w:val="Normal"/>
              <w:tabs>
                <w:tab w:val="clear" w:pos="709"/>
                <w:tab w:val="left" w:pos="2700" w:leader="none"/>
              </w:tabs>
              <w:jc w:val="center"/>
              <w:rPr/>
            </w:pPr>
            <w:r>
              <w:rPr/>
            </w:r>
          </w:p>
          <w:p>
            <w:pPr>
              <w:pStyle w:val="Normal"/>
              <w:tabs>
                <w:tab w:val="clear" w:pos="709"/>
                <w:tab w:val="left" w:pos="2700" w:leader="none"/>
              </w:tabs>
              <w:jc w:val="center"/>
              <w:rPr/>
            </w:pPr>
            <w:r>
              <w:rPr/>
              <w:t>201</w:t>
            </w:r>
            <w:r>
              <w:rPr>
                <w:lang w:val="sr-RS"/>
              </w:rPr>
              <w:t>9</w:t>
            </w:r>
            <w:r>
              <w:rPr/>
              <w:t>.</w:t>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pPr>
            <w:r>
              <w:rPr/>
              <w:t>просек за 201</w:t>
            </w:r>
            <w:r>
              <w:rPr>
                <w:lang w:val="sr-RS"/>
              </w:rPr>
              <w:t>8</w:t>
            </w:r>
            <w:r>
              <w:rPr/>
              <w:t>.</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b/>
                <w:b/>
                <w:color w:val="auto"/>
                <w:kern w:val="2"/>
                <w:sz w:val="24"/>
                <w:szCs w:val="24"/>
                <w:lang w:val="sr-RS" w:eastAsia="en-US" w:bidi="ar-SA"/>
              </w:rPr>
            </w:pPr>
            <w:r>
              <w:rPr>
                <w:rFonts w:eastAsia="Arial Unicode MS" w:cs="Times New Roman"/>
                <w:b/>
                <w:color w:val="auto"/>
                <w:kern w:val="2"/>
                <w:sz w:val="24"/>
                <w:szCs w:val="24"/>
                <w:lang w:val="sr-RS" w:eastAsia="en-US" w:bidi="ar-SA"/>
              </w:rPr>
              <w:t>32</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20</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19</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25</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IV</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39</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30</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34</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29</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VIII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21</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IX</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62</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X</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69</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XI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sr-RS"/>
              </w:rPr>
            </w:pPr>
            <w:r>
              <w:rPr>
                <w:lang w:val="sr-RS"/>
              </w:rPr>
              <w:t>25</w:t>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lang w:val="en-US"/>
              </w:rPr>
            </w:pPr>
            <w:r>
              <w:rPr>
                <w:lang w:val="en-US"/>
              </w:rPr>
              <w:t>XII</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pPr>
            <w:r>
              <w:rPr/>
            </w:r>
          </w:p>
        </w:tc>
      </w:tr>
      <w:tr>
        <w:trPr/>
        <w:tc>
          <w:tcPr>
            <w:tcW w:w="328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2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pPr>
            <w:r>
              <w:rPr/>
              <w:t>просек за 201</w:t>
            </w:r>
            <w:r>
              <w:rPr>
                <w:lang w:val="sr-RS"/>
              </w:rPr>
              <w:t>9</w:t>
            </w:r>
            <w:r>
              <w:rPr/>
              <w:t>.</w:t>
            </w:r>
          </w:p>
        </w:tc>
        <w:tc>
          <w:tcPr>
            <w:tcW w:w="32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00" w:leader="none"/>
              </w:tabs>
              <w:jc w:val="center"/>
              <w:rPr>
                <w:rFonts w:eastAsia="Arial Unicode MS" w:cs="Times New Roman"/>
                <w:b/>
                <w:b/>
                <w:color w:val="auto"/>
                <w:kern w:val="2"/>
                <w:sz w:val="24"/>
                <w:szCs w:val="24"/>
                <w:lang w:val="sr-RS" w:eastAsia="en-US" w:bidi="ar-SA"/>
              </w:rPr>
            </w:pPr>
            <w:r>
              <w:rPr>
                <w:rFonts w:eastAsia="Arial Unicode MS" w:cs="Times New Roman"/>
                <w:b/>
                <w:color w:val="auto"/>
                <w:kern w:val="2"/>
                <w:sz w:val="24"/>
                <w:szCs w:val="24"/>
                <w:lang w:val="sr-RS" w:eastAsia="en-US" w:bidi="ar-SA"/>
              </w:rPr>
              <w:t>34</w:t>
            </w:r>
          </w:p>
        </w:tc>
      </w:tr>
    </w:tbl>
    <w:p>
      <w:pPr>
        <w:pStyle w:val="Normal"/>
        <w:tabs>
          <w:tab w:val="clear" w:pos="709"/>
          <w:tab w:val="left" w:pos="2700" w:leader="none"/>
        </w:tabs>
        <w:jc w:val="center"/>
        <w:rPr/>
      </w:pPr>
      <w:r>
        <w:rPr/>
      </w:r>
    </w:p>
    <w:p>
      <w:pPr>
        <w:pStyle w:val="Normal"/>
        <w:tabs>
          <w:tab w:val="clear" w:pos="709"/>
          <w:tab w:val="left" w:pos="2700" w:leader="none"/>
        </w:tabs>
        <w:jc w:val="both"/>
        <w:rPr/>
      </w:pPr>
      <w:r>
        <w:rPr/>
        <w:t>На основу табеле може се закључити да је просек заснивања радног односа у 201</w:t>
      </w:r>
      <w:r>
        <w:rPr>
          <w:lang w:val="sr-RS"/>
        </w:rPr>
        <w:t>9</w:t>
      </w:r>
      <w:r>
        <w:rPr/>
        <w:t>. години био већи у односу на 2018. годину. Највећи број оних који су засновали радни однос у 201</w:t>
      </w:r>
      <w:r>
        <w:rPr>
          <w:lang w:val="sr-RS"/>
        </w:rPr>
        <w:t>9</w:t>
      </w:r>
      <w:r>
        <w:rPr/>
        <w:t xml:space="preserve">. години је у </w:t>
      </w:r>
      <w:r>
        <w:rPr>
          <w:rFonts w:eastAsia="Arial Unicode MS" w:cs="Times New Roman"/>
          <w:color w:val="auto"/>
          <w:kern w:val="2"/>
          <w:sz w:val="24"/>
          <w:szCs w:val="24"/>
          <w:lang w:val="sr-RS" w:eastAsia="en-US" w:bidi="ar-SA"/>
        </w:rPr>
        <w:t>октобру</w:t>
      </w:r>
      <w:r>
        <w:rPr/>
        <w:t xml:space="preserve"> месецу, </w:t>
      </w:r>
      <w:r>
        <w:rPr>
          <w:lang w:val="sr-RS"/>
        </w:rPr>
        <w:t>6</w:t>
      </w:r>
      <w:r>
        <w:rPr/>
        <w:t xml:space="preserve">9 лица, а </w:t>
      </w:r>
      <w:r>
        <w:rPr>
          <w:lang w:val="sr-RS"/>
        </w:rPr>
        <w:t>најмањи у фебруару месецу, 19 лица.</w:t>
      </w:r>
    </w:p>
    <w:p>
      <w:pPr>
        <w:pStyle w:val="Normal"/>
        <w:tabs>
          <w:tab w:val="clear" w:pos="709"/>
          <w:tab w:val="left" w:pos="2700" w:leader="none"/>
        </w:tabs>
        <w:jc w:val="both"/>
        <w:rPr>
          <w:b/>
          <w:b/>
        </w:rPr>
      </w:pPr>
      <w:r>
        <w:rPr>
          <w:b/>
        </w:rPr>
        <w:t xml:space="preserve">        </w:t>
      </w:r>
    </w:p>
    <w:p>
      <w:pPr>
        <w:pStyle w:val="Normal"/>
        <w:tabs>
          <w:tab w:val="clear" w:pos="709"/>
          <w:tab w:val="left" w:pos="2700" w:leader="none"/>
        </w:tabs>
        <w:jc w:val="both"/>
        <w:rPr>
          <w:b/>
          <w:b/>
        </w:rPr>
      </w:pPr>
      <w:r>
        <w:rPr>
          <w:b/>
        </w:rPr>
      </w:r>
    </w:p>
    <w:p>
      <w:pPr>
        <w:pStyle w:val="Normal"/>
        <w:tabs>
          <w:tab w:val="clear" w:pos="709"/>
          <w:tab w:val="left" w:pos="2700" w:leader="none"/>
        </w:tabs>
        <w:jc w:val="both"/>
        <w:rPr>
          <w:b/>
          <w:b/>
        </w:rPr>
      </w:pPr>
      <w:r>
        <w:rPr>
          <w:b/>
        </w:rPr>
      </w:r>
    </w:p>
    <w:p>
      <w:pPr>
        <w:pStyle w:val="Normal"/>
        <w:tabs>
          <w:tab w:val="clear" w:pos="709"/>
          <w:tab w:val="left" w:pos="2700" w:leader="none"/>
        </w:tabs>
        <w:jc w:val="both"/>
        <w:rPr/>
      </w:pPr>
      <w:r>
        <w:rPr>
          <w:b/>
        </w:rPr>
        <w:t>3.</w:t>
      </w:r>
      <w:r>
        <w:rPr>
          <w:b/>
          <w:lang w:val="en-US"/>
        </w:rPr>
        <w:t>3</w:t>
      </w:r>
      <w:r>
        <w:rPr>
          <w:b/>
        </w:rPr>
        <w:t>. Категорије теже запошљивих лица</w:t>
      </w:r>
    </w:p>
    <w:p>
      <w:pPr>
        <w:pStyle w:val="Normal"/>
        <w:tabs>
          <w:tab w:val="clear" w:pos="709"/>
          <w:tab w:val="left" w:pos="2700" w:leader="none"/>
        </w:tabs>
        <w:jc w:val="both"/>
        <w:rPr/>
      </w:pPr>
      <w:r>
        <w:rPr/>
      </w:r>
    </w:p>
    <w:p>
      <w:pPr>
        <w:pStyle w:val="Normal"/>
        <w:ind w:left="0" w:right="0" w:firstLine="708"/>
        <w:jc w:val="both"/>
        <w:rPr/>
      </w:pPr>
      <w:r>
        <w:rPr/>
        <w:t xml:space="preserve">                  </w:t>
      </w:r>
      <w:r>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програмима и мерама активне политике запошљавања подстиче се равноправнији положај ових лица на тржишту рада.</w:t>
      </w:r>
    </w:p>
    <w:p>
      <w:pPr>
        <w:pStyle w:val="Normal"/>
        <w:ind w:left="0" w:right="0" w:firstLine="708"/>
        <w:jc w:val="both"/>
        <w:rPr/>
      </w:pPr>
      <w:r>
        <w:rPr/>
        <w:t>У 2019. години статус теже запошљивих лица, а у складу са проценом запошљивости, која ће имати приоритет при укључивању у мере активне политике запошљавања су: млади до 30 година живота, вишкови запослених, старији од 50 година, лица без квалификација и нискоквалификовани, особе са инвалидитетом, Роми, радно способни корисници новчане социјалне помоћи, дугорочно незапослени (на евиденцији дуже од 12 месеци а посебно незапослена</w:t>
      </w:r>
      <w:r>
        <w:rPr>
          <w:sz w:val="22"/>
          <w:szCs w:val="22"/>
        </w:rPr>
        <w:t xml:space="preserve"> </w:t>
      </w:r>
      <w:r>
        <w:rPr/>
        <w:t>лица која траже посао дуже од 18 месеци),млади до 30 година старости који су имали/имају статус детета без родитељског старања и жртве породичног насиља.</w:t>
      </w:r>
    </w:p>
    <w:p>
      <w:pPr>
        <w:pStyle w:val="Normal"/>
        <w:ind w:left="0" w:right="0" w:firstLine="708"/>
        <w:jc w:val="both"/>
        <w:rPr/>
      </w:pPr>
      <w:r>
        <w:rPr/>
        <w:t xml:space="preserve">Такође,у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 жене (посебно жене жртве трговине људима),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 </w:t>
      </w:r>
      <w:r>
        <w:rPr>
          <w:lang w:val="sr-Latn-CS"/>
        </w:rPr>
        <w:t>бивши изврши</w:t>
      </w:r>
      <w:r>
        <w:rPr/>
        <w:t>оци кривичних дела и сл. на начин којим се омогућава њихова интеграција на тржиште рада.</w:t>
      </w:r>
    </w:p>
    <w:p>
      <w:pPr>
        <w:pStyle w:val="Normal"/>
        <w:ind w:left="0" w:right="0" w:firstLine="708"/>
        <w:jc w:val="both"/>
        <w:rPr/>
      </w:pPr>
      <w:r>
        <w:rPr/>
        <w:t>Посебан приоритет при укључивању у мере активне политике запошљавања имају незапослена лица која се истовремено суочавају са више фактора отежане запошљивости.</w:t>
      </w:r>
    </w:p>
    <w:p>
      <w:pPr>
        <w:pStyle w:val="Normal"/>
        <w:ind w:left="0" w:right="0" w:firstLine="708"/>
        <w:jc w:val="both"/>
        <w:rPr>
          <w:i/>
          <w:i/>
          <w:lang w:val="en-US"/>
        </w:rPr>
      </w:pPr>
      <w:r>
        <w:rPr>
          <w:i/>
          <w:lang w:val="en-US"/>
        </w:rPr>
      </w:r>
    </w:p>
    <w:p>
      <w:pPr>
        <w:pStyle w:val="Normal"/>
        <w:tabs>
          <w:tab w:val="clear" w:pos="709"/>
          <w:tab w:val="left" w:pos="2640" w:leader="none"/>
        </w:tabs>
        <w:rPr>
          <w:b/>
          <w:b/>
          <w:lang w:val="ru-RU"/>
        </w:rPr>
      </w:pPr>
      <w:r>
        <w:rPr>
          <w:b/>
          <w:lang w:val="ru-RU"/>
        </w:rPr>
      </w:r>
    </w:p>
    <w:p>
      <w:pPr>
        <w:pStyle w:val="Normal"/>
        <w:tabs>
          <w:tab w:val="clear" w:pos="709"/>
          <w:tab w:val="left" w:pos="2640" w:leader="none"/>
        </w:tabs>
        <w:rPr>
          <w:b/>
          <w:b/>
          <w:lang w:val="ru-RU"/>
        </w:rPr>
      </w:pPr>
      <w:r>
        <w:rPr>
          <w:b/>
          <w:lang w:val="ru-RU"/>
        </w:rPr>
      </w:r>
    </w:p>
    <w:p>
      <w:pPr>
        <w:pStyle w:val="Normal"/>
        <w:tabs>
          <w:tab w:val="clear" w:pos="709"/>
          <w:tab w:val="left" w:pos="2640" w:leader="none"/>
        </w:tabs>
        <w:rPr>
          <w:b/>
          <w:b/>
          <w:lang w:val="ru-RU"/>
        </w:rPr>
      </w:pPr>
      <w:r>
        <w:rPr>
          <w:b/>
          <w:lang w:val="ru-RU"/>
        </w:rPr>
      </w:r>
    </w:p>
    <w:p>
      <w:pPr>
        <w:pStyle w:val="Normal"/>
        <w:tabs>
          <w:tab w:val="clear" w:pos="709"/>
          <w:tab w:val="left" w:pos="2640" w:leader="none"/>
        </w:tabs>
        <w:rPr>
          <w:b/>
          <w:b/>
          <w:lang w:val="ru-RU"/>
        </w:rPr>
      </w:pPr>
      <w:r>
        <w:rPr>
          <w:b/>
          <w:lang w:val="ru-RU"/>
        </w:rPr>
      </w:r>
    </w:p>
    <w:p>
      <w:pPr>
        <w:pStyle w:val="Normal"/>
        <w:tabs>
          <w:tab w:val="clear" w:pos="709"/>
          <w:tab w:val="left" w:pos="2640" w:leader="none"/>
        </w:tabs>
        <w:rPr>
          <w:b/>
          <w:b/>
          <w:lang w:val="ru-RU"/>
        </w:rPr>
      </w:pPr>
      <w:r>
        <w:rPr>
          <w:b/>
          <w:lang w:val="ru-RU"/>
        </w:rPr>
      </w:r>
    </w:p>
    <w:p>
      <w:pPr>
        <w:pStyle w:val="Normal"/>
        <w:tabs>
          <w:tab w:val="clear" w:pos="709"/>
          <w:tab w:val="left" w:pos="2640" w:leader="none"/>
        </w:tabs>
        <w:rPr>
          <w:lang w:val="ru-RU"/>
        </w:rPr>
      </w:pPr>
      <w:r>
        <w:rPr>
          <w:lang w:val="ru-RU"/>
        </w:rPr>
      </w:r>
    </w:p>
    <w:p>
      <w:pPr>
        <w:pStyle w:val="Normal"/>
        <w:numPr>
          <w:ilvl w:val="0"/>
          <w:numId w:val="3"/>
        </w:numPr>
        <w:jc w:val="center"/>
        <w:rPr/>
      </w:pPr>
      <w:r>
        <w:rPr>
          <w:b/>
          <w:lang w:val="sr-Latn-CS"/>
        </w:rPr>
        <w:t xml:space="preserve"> </w:t>
      </w:r>
      <w:r>
        <w:rPr>
          <w:b/>
        </w:rPr>
        <w:t>ПРЕГЛЕД ПЛАНИРАНИХ МЕРА АКТИВНЕ ПОЛИТИКЕ ЗАПОШЉАВАЊА</w:t>
      </w:r>
    </w:p>
    <w:p>
      <w:pPr>
        <w:pStyle w:val="Normal"/>
        <w:ind w:left="0" w:right="0" w:firstLine="708"/>
        <w:jc w:val="center"/>
        <w:rPr>
          <w:b/>
          <w:b/>
        </w:rPr>
      </w:pPr>
      <w:r>
        <w:rPr>
          <w:b/>
        </w:rPr>
      </w:r>
    </w:p>
    <w:p>
      <w:pPr>
        <w:pStyle w:val="Normal"/>
        <w:numPr>
          <w:ilvl w:val="1"/>
          <w:numId w:val="3"/>
        </w:numPr>
        <w:rPr>
          <w:rFonts w:ascii="Times New Roman" w:hAnsi="Times New Roman" w:eastAsia="Arial Unicode MS" w:cs="Times New Roman"/>
          <w:b/>
          <w:b/>
          <w:color w:val="auto"/>
          <w:kern w:val="2"/>
          <w:sz w:val="24"/>
          <w:szCs w:val="24"/>
          <w:lang w:val="sr-RS" w:eastAsia="en-US" w:bidi="ar-SA"/>
        </w:rPr>
      </w:pPr>
      <w:r>
        <w:rPr>
          <w:rFonts w:eastAsia="Arial Unicode MS" w:cs="Times New Roman"/>
          <w:b/>
          <w:color w:val="auto"/>
          <w:kern w:val="2"/>
          <w:sz w:val="24"/>
          <w:szCs w:val="24"/>
          <w:lang w:val="sr-RS" w:eastAsia="en-US" w:bidi="ar-SA"/>
        </w:rPr>
        <w:t>Циљеви и приоритети</w:t>
      </w:r>
    </w:p>
    <w:p>
      <w:pPr>
        <w:pStyle w:val="Normal"/>
        <w:jc w:val="center"/>
        <w:rPr/>
      </w:pPr>
      <w:r>
        <w:rPr/>
        <w:t xml:space="preserve"> </w:t>
      </w:r>
    </w:p>
    <w:p>
      <w:pPr>
        <w:pStyle w:val="Normal"/>
        <w:jc w:val="both"/>
        <w:rPr/>
      </w:pPr>
      <w:r>
        <w:rPr/>
        <w:tab/>
        <w:t>Циљеви и приоритети политике запошљавања  на територији општине Ћићевац за 20</w:t>
      </w:r>
      <w:r>
        <w:rPr>
          <w:lang w:val="sr-Latn-RS"/>
        </w:rPr>
        <w:t>20</w:t>
      </w:r>
      <w:r>
        <w:rPr/>
        <w:t xml:space="preserve">. годину су: </w:t>
      </w:r>
    </w:p>
    <w:p>
      <w:pPr>
        <w:pStyle w:val="Normal"/>
        <w:widowControl/>
        <w:numPr>
          <w:ilvl w:val="0"/>
          <w:numId w:val="1"/>
        </w:numPr>
        <w:suppressAutoHyphens w:val="false"/>
        <w:jc w:val="both"/>
        <w:rPr/>
      </w:pPr>
      <w:r>
        <w:rPr/>
        <w:t>одржање или повећање запослености и смањење незапослености;</w:t>
      </w:r>
    </w:p>
    <w:p>
      <w:pPr>
        <w:pStyle w:val="Normal"/>
        <w:widowControl/>
        <w:numPr>
          <w:ilvl w:val="0"/>
          <w:numId w:val="1"/>
        </w:numPr>
        <w:suppressAutoHyphens w:val="false"/>
        <w:jc w:val="both"/>
        <w:rPr/>
      </w:pPr>
      <w:r>
        <w:rPr/>
        <w:t>улагање у људски капитал</w:t>
      </w:r>
      <w:r>
        <w:rPr>
          <w:lang w:val="en-US"/>
        </w:rPr>
        <w:t>;</w:t>
      </w:r>
      <w:r>
        <w:rPr/>
        <w:t xml:space="preserve"> </w:t>
      </w:r>
    </w:p>
    <w:p>
      <w:pPr>
        <w:pStyle w:val="Normal"/>
        <w:widowControl/>
        <w:numPr>
          <w:ilvl w:val="0"/>
          <w:numId w:val="1"/>
        </w:numPr>
        <w:suppressAutoHyphens w:val="false"/>
        <w:jc w:val="both"/>
        <w:rPr/>
      </w:pPr>
      <w:r>
        <w:rPr/>
        <w:t>подршка помоћи незапосленим лицима у активном тражењу посла;</w:t>
      </w:r>
    </w:p>
    <w:p>
      <w:pPr>
        <w:pStyle w:val="Normal"/>
        <w:widowControl/>
        <w:numPr>
          <w:ilvl w:val="0"/>
          <w:numId w:val="1"/>
        </w:numPr>
        <w:suppressAutoHyphens w:val="false"/>
        <w:jc w:val="both"/>
        <w:rPr/>
      </w:pPr>
      <w:r>
        <w:rPr/>
        <w:t>активан приступ општине у области запошљавања;</w:t>
      </w:r>
    </w:p>
    <w:p>
      <w:pPr>
        <w:pStyle w:val="Normal"/>
        <w:widowControl/>
        <w:numPr>
          <w:ilvl w:val="0"/>
          <w:numId w:val="1"/>
        </w:numPr>
        <w:suppressAutoHyphens w:val="false"/>
        <w:jc w:val="both"/>
        <w:rPr/>
      </w:pPr>
      <w:r>
        <w:rPr/>
        <w:t>спровођење мера из акционог плана и јачање улоге Локалног савета за запошљавање.</w:t>
      </w:r>
    </w:p>
    <w:p>
      <w:pPr>
        <w:pStyle w:val="Normal"/>
        <w:jc w:val="both"/>
        <w:rPr>
          <w:b/>
          <w:b/>
        </w:rPr>
      </w:pPr>
      <w:r>
        <w:rPr>
          <w:b/>
        </w:rPr>
      </w:r>
    </w:p>
    <w:p>
      <w:pPr>
        <w:pStyle w:val="Normal"/>
        <w:ind w:left="0" w:right="0" w:firstLine="705"/>
        <w:rPr/>
      </w:pPr>
      <w:r>
        <w:rPr>
          <w:b/>
          <w:lang w:val="sr-RS"/>
        </w:rPr>
        <w:t xml:space="preserve">4.2. </w:t>
      </w:r>
      <w:r>
        <w:rPr>
          <w:b/>
        </w:rPr>
        <w:t>Програми и мере активне политике запошљавања</w:t>
      </w:r>
    </w:p>
    <w:p>
      <w:pPr>
        <w:pStyle w:val="Normal"/>
        <w:jc w:val="both"/>
        <w:rPr/>
      </w:pPr>
      <w:r>
        <w:rPr/>
      </w:r>
    </w:p>
    <w:p>
      <w:pPr>
        <w:pStyle w:val="Normal"/>
        <w:ind w:left="0" w:right="0" w:firstLine="720"/>
        <w:jc w:val="both"/>
        <w:rPr/>
      </w:pPr>
      <w:r>
        <w:rPr/>
        <w:t>Утврђени приоритети, циљеви и задаци постижу се спровођењем мера активне политике запошљавања.</w:t>
      </w:r>
    </w:p>
    <w:p>
      <w:pPr>
        <w:pStyle w:val="Normal"/>
        <w:ind w:left="0" w:right="0" w:firstLine="708"/>
        <w:jc w:val="both"/>
        <w:rPr/>
      </w:pPr>
      <w:r>
        <w:rPr>
          <w:sz w:val="22"/>
          <w:szCs w:val="22"/>
        </w:rPr>
        <w:t>У 20</w:t>
      </w:r>
      <w:r>
        <w:rPr>
          <w:sz w:val="22"/>
          <w:szCs w:val="22"/>
          <w:lang w:val="sr-Latn-RS"/>
        </w:rPr>
        <w:t>20</w:t>
      </w:r>
      <w:r>
        <w:rPr>
          <w:sz w:val="22"/>
          <w:szCs w:val="22"/>
        </w:rPr>
        <w:t>. години одобраваће се учешће у финансирању програма или мера активне политике запошљавања из средстава опредељених за реализацију НАПЗ, и то:</w:t>
      </w:r>
    </w:p>
    <w:p>
      <w:pPr>
        <w:pStyle w:val="Normal"/>
        <w:numPr>
          <w:ilvl w:val="0"/>
          <w:numId w:val="4"/>
        </w:numPr>
        <w:spacing w:lineRule="auto" w:line="240" w:before="0" w:after="0"/>
        <w:contextualSpacing/>
        <w:jc w:val="both"/>
        <w:rPr/>
      </w:pPr>
      <w:r>
        <w:rPr>
          <w:rFonts w:cs="Times New Roman"/>
          <w:b/>
          <w:iCs/>
          <w:lang w:val="sr-RS" w:eastAsia="en-GB"/>
        </w:rPr>
        <w:t>Програм стручне праксе</w:t>
      </w:r>
      <w:r>
        <w:rPr>
          <w:rFonts w:cs="Times New Roman"/>
          <w:iCs/>
          <w:lang w:val="sr-RS" w:eastAsia="en-GB"/>
        </w:rPr>
        <w:t>;</w:t>
      </w:r>
    </w:p>
    <w:p>
      <w:pPr>
        <w:pStyle w:val="Normal"/>
        <w:numPr>
          <w:ilvl w:val="0"/>
          <w:numId w:val="4"/>
        </w:numPr>
        <w:spacing w:lineRule="auto" w:line="240" w:before="0" w:after="0"/>
        <w:contextualSpacing/>
        <w:jc w:val="both"/>
        <w:rPr>
          <w:rFonts w:ascii="Times New Roman" w:hAnsi="Times New Roman" w:cs="Times New Roman"/>
          <w:b/>
          <w:b/>
          <w:iCs/>
          <w:lang w:val="sr-RS" w:eastAsia="en-GB"/>
        </w:rPr>
      </w:pPr>
      <w:r>
        <w:rPr>
          <w:rFonts w:cs="Times New Roman"/>
          <w:b/>
          <w:iCs/>
          <w:lang w:val="sr-RS" w:eastAsia="en-GB"/>
        </w:rPr>
        <w:t>Програм приправника за младе са високим образовањем,</w:t>
      </w:r>
    </w:p>
    <w:p>
      <w:pPr>
        <w:pStyle w:val="Normal"/>
        <w:numPr>
          <w:ilvl w:val="0"/>
          <w:numId w:val="4"/>
        </w:numPr>
        <w:spacing w:lineRule="auto" w:line="240" w:before="0" w:after="0"/>
        <w:contextualSpacing/>
        <w:jc w:val="both"/>
        <w:rPr/>
      </w:pPr>
      <w:r>
        <w:rPr>
          <w:rFonts w:cs="Times New Roman"/>
          <w:b/>
          <w:iCs/>
          <w:lang w:val="sr-RS" w:eastAsia="en-GB"/>
        </w:rPr>
        <w:t>Програм стицања практичних знања за неквалификована лица, вишкове запослених и дугорочно незапослене</w:t>
      </w:r>
      <w:r>
        <w:rPr>
          <w:rFonts w:cs="Times New Roman"/>
          <w:iCs/>
          <w:lang w:val="sr-RS" w:eastAsia="en-GB"/>
        </w:rPr>
        <w:t>;</w:t>
      </w:r>
    </w:p>
    <w:p>
      <w:pPr>
        <w:pStyle w:val="Normal"/>
        <w:numPr>
          <w:ilvl w:val="0"/>
          <w:numId w:val="4"/>
        </w:numPr>
        <w:spacing w:lineRule="auto" w:line="240" w:before="0" w:after="0"/>
        <w:contextualSpacing/>
        <w:jc w:val="both"/>
        <w:rPr/>
      </w:pPr>
      <w:r>
        <w:rPr>
          <w:rFonts w:cs="Times New Roman"/>
          <w:b/>
          <w:iCs/>
          <w:lang w:val="sr-RS" w:eastAsia="en-GB"/>
        </w:rPr>
        <w:t xml:space="preserve">Обука на захтев послодавца – </w:t>
      </w:r>
      <w:r>
        <w:rPr>
          <w:rFonts w:cs="Times New Roman"/>
          <w:iCs/>
          <w:lang w:val="sr-RS" w:eastAsia="en-GB"/>
        </w:rPr>
        <w:t>у обуку се укључују незапослена лица уколико 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pPr>
        <w:pStyle w:val="Normal"/>
        <w:numPr>
          <w:ilvl w:val="0"/>
          <w:numId w:val="4"/>
        </w:numPr>
        <w:spacing w:lineRule="auto" w:line="240" w:before="0" w:after="0"/>
        <w:contextualSpacing/>
        <w:jc w:val="both"/>
        <w:rPr/>
      </w:pPr>
      <w:r>
        <w:rPr>
          <w:rFonts w:cs="Times New Roman"/>
          <w:b/>
          <w:bCs/>
          <w:iCs/>
          <w:lang w:val="sr-RS" w:eastAsia="en-GB"/>
        </w:rPr>
        <w:t>Субвенција за запошљавање незапослених лица</w:t>
      </w:r>
      <w:r>
        <w:rPr>
          <w:rFonts w:cs="Times New Roman"/>
          <w:b/>
          <w:iCs/>
          <w:lang w:val="sr-RS" w:eastAsia="en-GB"/>
        </w:rPr>
        <w:t xml:space="preserve"> из </w:t>
      </w:r>
      <w:r>
        <w:rPr>
          <w:rFonts w:cs="Times New Roman"/>
          <w:b/>
          <w:bCs/>
          <w:iCs/>
          <w:lang w:val="sr-RS" w:eastAsia="en-GB"/>
        </w:rPr>
        <w:t>категорије теже запошљивих</w:t>
      </w:r>
      <w:r>
        <w:rPr>
          <w:rFonts w:cs="Times New Roman"/>
          <w:b/>
          <w:iCs/>
          <w:lang w:val="sr-RS" w:eastAsia="en-GB"/>
        </w:rPr>
        <w:t xml:space="preserve"> – </w:t>
      </w:r>
      <w:r>
        <w:rPr>
          <w:rFonts w:cs="Times New Roman"/>
          <w:iCs/>
          <w:lang w:val="sr-RS" w:eastAsia="en-GB"/>
        </w:rPr>
        <w:t xml:space="preserve">може се доделити за запошљавање </w:t>
      </w:r>
      <w:r>
        <w:rPr>
          <w:rFonts w:cs="Times New Roman"/>
          <w:bCs/>
          <w:iCs/>
          <w:lang w:val="sr-RS" w:eastAsia="en-GB"/>
        </w:rPr>
        <w:t>незапослених лица</w:t>
      </w:r>
      <w:r>
        <w:rPr>
          <w:rFonts w:cs="Times New Roman"/>
          <w:iCs/>
          <w:lang w:val="sr-RS" w:eastAsia="en-GB"/>
        </w:rPr>
        <w:t xml:space="preserve"> из једне или више </w:t>
      </w:r>
      <w:r>
        <w:rPr>
          <w:rFonts w:cs="Times New Roman"/>
          <w:bCs/>
          <w:iCs/>
          <w:lang w:val="sr-RS" w:eastAsia="en-GB"/>
        </w:rPr>
        <w:t>категорија теже запошљивих</w:t>
      </w:r>
      <w:r>
        <w:rPr>
          <w:rFonts w:cs="Times New Roman"/>
          <w:iCs/>
          <w:lang w:val="sr-RS" w:eastAsia="en-GB"/>
        </w:rPr>
        <w:t>, а које су утврђене у складу са стањем и потребама локалног тржишта и наведене у ЛАПЗ;</w:t>
      </w:r>
    </w:p>
    <w:p>
      <w:pPr>
        <w:pStyle w:val="Normal"/>
        <w:numPr>
          <w:ilvl w:val="0"/>
          <w:numId w:val="4"/>
        </w:numPr>
        <w:spacing w:lineRule="auto" w:line="240" w:before="0" w:after="0"/>
        <w:contextualSpacing/>
        <w:jc w:val="both"/>
        <w:rPr/>
      </w:pPr>
      <w:r>
        <w:rPr>
          <w:rFonts w:cs="Times New Roman"/>
          <w:b/>
          <w:iCs/>
          <w:lang w:val="sr-RS" w:eastAsia="en-GB"/>
        </w:rPr>
        <w:t xml:space="preserve">Субвенција за самозапошљавање - </w:t>
      </w:r>
      <w:r>
        <w:rPr>
          <w:rFonts w:cs="Times New Roman"/>
          <w:iCs/>
          <w:lang w:val="sr-RS" w:eastAsia="en-GB"/>
        </w:rPr>
        <w:t xml:space="preserve">одобрава се незапосленом лицу ради оснивања 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 </w:t>
      </w:r>
    </w:p>
    <w:p>
      <w:pPr>
        <w:pStyle w:val="Normal"/>
        <w:numPr>
          <w:ilvl w:val="0"/>
          <w:numId w:val="4"/>
        </w:numPr>
        <w:spacing w:lineRule="auto" w:line="240" w:before="0" w:after="0"/>
        <w:contextualSpacing/>
        <w:jc w:val="both"/>
        <w:rPr/>
      </w:pPr>
      <w:r>
        <w:rPr>
          <w:rFonts w:cs="Times New Roman"/>
          <w:b/>
          <w:iCs/>
          <w:lang w:val="sr-RS" w:eastAsia="en-GB"/>
        </w:rPr>
        <w:t>Програм јавних радова</w:t>
      </w:r>
      <w:r>
        <w:rPr>
          <w:rFonts w:cs="Times New Roman"/>
          <w:iCs/>
          <w:lang w:val="sr-RS" w:eastAsia="en-GB"/>
        </w:rPr>
        <w:t xml:space="preserve"> - у програм јавних радова могу се укључити незапослена лица из свих категорија теже запошљивих, у складу са стањем и потребама локалног тржишта рада утврђеним у ЛАПЗ. 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pPr>
        <w:pStyle w:val="Normal"/>
        <w:numPr>
          <w:ilvl w:val="0"/>
          <w:numId w:val="0"/>
        </w:numPr>
        <w:spacing w:lineRule="auto" w:line="240" w:before="0" w:after="0"/>
        <w:ind w:left="1080" w:right="0" w:hanging="0"/>
        <w:jc w:val="both"/>
        <w:rPr/>
      </w:pPr>
      <w:r>
        <w:rPr>
          <w:rFonts w:cs="Times New Roman"/>
          <w:lang w:val="sr-RS"/>
        </w:rPr>
        <w:t>1) трећој групи (у распону од 60% до 80% републичког просека) и</w:t>
      </w:r>
    </w:p>
    <w:p>
      <w:pPr>
        <w:pStyle w:val="Normal"/>
        <w:numPr>
          <w:ilvl w:val="0"/>
          <w:numId w:val="0"/>
        </w:numPr>
        <w:spacing w:lineRule="auto" w:line="240" w:before="0" w:after="0"/>
        <w:ind w:left="1080" w:right="0" w:hanging="0"/>
        <w:jc w:val="both"/>
        <w:rPr/>
      </w:pPr>
      <w:r>
        <w:rPr>
          <w:rFonts w:cs="Times New Roman"/>
          <w:lang w:val="sr-RS"/>
        </w:rPr>
        <w:t>2) четвртoj групи (степен развијености испод 60% републичког просека) и  девастираним подручјима (степен развијености испод 50% републичког просека).</w:t>
      </w:r>
    </w:p>
    <w:p>
      <w:pPr>
        <w:pStyle w:val="Normal"/>
        <w:numPr>
          <w:ilvl w:val="0"/>
          <w:numId w:val="0"/>
        </w:numPr>
        <w:spacing w:lineRule="auto" w:line="240" w:before="0" w:after="0"/>
        <w:ind w:left="1080" w:right="0" w:hanging="0"/>
        <w:contextualSpacing/>
        <w:jc w:val="both"/>
        <w:rPr>
          <w:rFonts w:ascii="Times New Roman" w:hAnsi="Times New Roman" w:cs="Times New Roman"/>
          <w:iCs/>
          <w:lang w:val="sr-RS" w:eastAsia="en-GB"/>
        </w:rPr>
      </w:pPr>
      <w:r>
        <w:rPr>
          <w:rFonts w:cs="Times New Roman"/>
          <w:iCs/>
          <w:lang w:val="sr-RS" w:eastAsia="en-GB"/>
        </w:rPr>
        <w:t xml:space="preserve">            </w:t>
      </w:r>
      <w:r>
        <w:rPr>
          <w:rFonts w:cs="Times New Roman"/>
          <w:iCs/>
          <w:lang w:val="sr-RS" w:eastAsia="en-GB"/>
        </w:rPr>
        <w:t>У програм јавних радова радно се ангажује најмање 5 (пет) незапослених лица.</w:t>
      </w:r>
    </w:p>
    <w:p>
      <w:pPr>
        <w:pStyle w:val="Normal"/>
        <w:numPr>
          <w:ilvl w:val="0"/>
          <w:numId w:val="0"/>
        </w:numPr>
        <w:spacing w:lineRule="auto" w:line="240" w:before="0" w:after="0"/>
        <w:ind w:left="1080" w:right="0" w:hanging="0"/>
        <w:jc w:val="both"/>
        <w:rPr>
          <w:rFonts w:ascii="Times New Roman" w:hAnsi="Times New Roman" w:cs="Times New Roman"/>
          <w:lang w:val="sr-RS"/>
        </w:rPr>
      </w:pPr>
      <w:r>
        <w:rPr>
          <w:rFonts w:cs="Times New Roman"/>
          <w:lang w:val="sr-RS"/>
        </w:rPr>
        <w:t xml:space="preserve">       </w:t>
      </w:r>
      <w:r>
        <w:rPr>
          <w:rFonts w:cs="Times New Roman"/>
          <w:lang w:val="sr-RS"/>
        </w:rPr>
        <w:t xml:space="preserve">За особе са инвалидитетом јавни радови се могу организовати у свим јединицама </w:t>
        <w:tab/>
        <w:t xml:space="preserve">локалне самоуправе, независно од степена развијености, у области социјалне заштите </w:t>
        <w:tab/>
        <w:t xml:space="preserve">и хуманитарног рада, одржавања и обнављања јавне инфраструктуре, одржавања и </w:t>
        <w:tab/>
        <w:t>заштите животне средине и природе и културе.</w:t>
      </w:r>
    </w:p>
    <w:p>
      <w:pPr>
        <w:pStyle w:val="Normal"/>
        <w:numPr>
          <w:ilvl w:val="0"/>
          <w:numId w:val="0"/>
        </w:numPr>
        <w:spacing w:lineRule="auto" w:line="240" w:before="0" w:after="0"/>
        <w:ind w:left="1080" w:right="0" w:hanging="0"/>
        <w:contextualSpacing/>
        <w:jc w:val="both"/>
        <w:rPr/>
      </w:pPr>
      <w:r>
        <w:rPr>
          <w:rFonts w:cs="Times New Roman"/>
          <w:iCs/>
          <w:lang w:val="sr-RS" w:eastAsia="en-GB"/>
        </w:rPr>
        <w:t xml:space="preserve">     </w:t>
      </w:r>
      <w:r>
        <w:rPr>
          <w:rFonts w:cs="Times New Roman"/>
          <w:iCs/>
          <w:lang w:val="sr-RS" w:eastAsia="en-GB"/>
        </w:rPr>
        <w:t xml:space="preserve">На јавним радовима се радно ангажује најмање 3 (три) незапослене особе са </w:t>
        <w:tab/>
        <w:t>инвалидитетом.</w:t>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ind w:left="0" w:right="0" w:firstLine="705"/>
        <w:jc w:val="both"/>
        <w:rPr/>
      </w:pPr>
      <w:r>
        <w:rPr/>
        <w:t>Анализом кључних проблема у општини Ћићевац, дефинисано је да се у 20</w:t>
      </w:r>
      <w:r>
        <w:rPr>
          <w:lang w:val="sr-Latn-RS"/>
        </w:rPr>
        <w:t>20.</w:t>
      </w:r>
      <w:r>
        <w:rPr/>
        <w:t xml:space="preserve"> години финансирају  следеће мере активне политике запошљавања:</w:t>
      </w:r>
    </w:p>
    <w:p>
      <w:pPr>
        <w:pStyle w:val="Normal"/>
        <w:widowControl/>
        <w:numPr>
          <w:ilvl w:val="0"/>
          <w:numId w:val="0"/>
        </w:numPr>
        <w:suppressAutoHyphens w:val="false"/>
        <w:ind w:left="1065" w:hanging="0"/>
        <w:jc w:val="both"/>
        <w:rPr>
          <w:color w:val="000000"/>
        </w:rPr>
      </w:pPr>
      <w:r>
        <w:rPr>
          <w:color w:val="000000"/>
        </w:rPr>
      </w:r>
    </w:p>
    <w:p>
      <w:pPr>
        <w:pStyle w:val="Normal"/>
        <w:widowControl/>
        <w:numPr>
          <w:ilvl w:val="0"/>
          <w:numId w:val="2"/>
        </w:numPr>
        <w:suppressAutoHyphens w:val="false"/>
        <w:jc w:val="both"/>
        <w:rPr/>
      </w:pPr>
      <w:r>
        <w:rPr>
          <w:color w:val="000000"/>
        </w:rPr>
        <w:t>Субвенције за самозапошљавање</w:t>
      </w:r>
    </w:p>
    <w:p>
      <w:pPr>
        <w:pStyle w:val="Normal"/>
        <w:widowControl/>
        <w:numPr>
          <w:ilvl w:val="0"/>
          <w:numId w:val="2"/>
        </w:numPr>
        <w:suppressAutoHyphens w:val="false"/>
        <w:jc w:val="both"/>
        <w:rPr/>
      </w:pPr>
      <w:r>
        <w:rPr>
          <w:color w:val="000000"/>
        </w:rPr>
        <w:t>Субвенције за запошљавање незапослених лица из категорије теже запошљивих</w:t>
      </w:r>
    </w:p>
    <w:p>
      <w:pPr>
        <w:pStyle w:val="Normal"/>
        <w:widowControl/>
        <w:numPr>
          <w:ilvl w:val="0"/>
          <w:numId w:val="2"/>
        </w:numPr>
        <w:suppressAutoHyphens w:val="false"/>
        <w:jc w:val="both"/>
        <w:rPr/>
      </w:pPr>
      <w:r>
        <w:rPr>
          <w:color w:val="000000"/>
          <w:lang w:val="sr-RS"/>
        </w:rPr>
        <w:t>Програм јавних радова</w:t>
      </w:r>
    </w:p>
    <w:p>
      <w:pPr>
        <w:pStyle w:val="Normal"/>
        <w:widowControl/>
        <w:numPr>
          <w:ilvl w:val="0"/>
          <w:numId w:val="2"/>
        </w:numPr>
        <w:suppressAutoHyphens w:val="false"/>
        <w:jc w:val="both"/>
        <w:rPr/>
      </w:pPr>
      <w:r>
        <w:rPr>
          <w:color w:val="000000"/>
          <w:lang w:val="sr-RS"/>
        </w:rPr>
        <w:t>Програм стицања практичних знања</w:t>
      </w:r>
      <w:r>
        <w:rPr>
          <w:color w:val="000000"/>
        </w:rPr>
        <w:t xml:space="preserve"> </w:t>
      </w:r>
      <w:r>
        <w:rPr>
          <w:color w:val="000000"/>
          <w:lang w:val="sr-RS"/>
        </w:rPr>
        <w:t>и</w:t>
      </w:r>
    </w:p>
    <w:p>
      <w:pPr>
        <w:pStyle w:val="Normal"/>
        <w:widowControl/>
        <w:numPr>
          <w:ilvl w:val="0"/>
          <w:numId w:val="2"/>
        </w:numPr>
        <w:suppressAutoHyphens w:val="false"/>
        <w:jc w:val="both"/>
        <w:rPr>
          <w:color w:val="000000"/>
        </w:rPr>
      </w:pPr>
      <w:r>
        <w:rPr>
          <w:color w:val="000000"/>
        </w:rPr>
        <w:t xml:space="preserve">Програм стручне праксе. </w:t>
      </w:r>
    </w:p>
    <w:p>
      <w:pPr>
        <w:pStyle w:val="Normal"/>
        <w:widowControl/>
        <w:suppressAutoHyphens w:val="false"/>
        <w:jc w:val="both"/>
        <w:rPr>
          <w:color w:val="C9211E"/>
        </w:rPr>
      </w:pPr>
      <w:r>
        <w:rPr>
          <w:color w:val="C9211E"/>
        </w:rPr>
      </w:r>
    </w:p>
    <w:p>
      <w:pPr>
        <w:pStyle w:val="Normal"/>
        <w:widowControl/>
        <w:suppressAutoHyphens w:val="false"/>
        <w:jc w:val="both"/>
        <w:rPr/>
      </w:pPr>
      <w:r>
        <w:rPr>
          <w:lang w:val="en-US"/>
        </w:rPr>
        <w:t>Општина Ћићевац</w:t>
      </w:r>
      <w:r>
        <w:rPr/>
        <w:t xml:space="preserve"> планирал</w:t>
      </w:r>
      <w:r>
        <w:rPr>
          <w:lang w:val="en-US"/>
        </w:rPr>
        <w:t>а је буџетом 4.000.000,00 динара у циљу спровођења наведених мера активне политике запошљавања</w:t>
      </w:r>
      <w:r>
        <w:rPr/>
        <w:t xml:space="preserve">, </w:t>
      </w:r>
      <w:r>
        <w:rPr>
          <w:lang w:val="sr-RS"/>
        </w:rPr>
        <w:t xml:space="preserve">од чега ће </w:t>
      </w:r>
      <w:r>
        <w:rPr>
          <w:rFonts w:eastAsia="Arial Unicode MS" w:cs="Times New Roman"/>
          <w:color w:val="auto"/>
          <w:kern w:val="2"/>
          <w:sz w:val="24"/>
          <w:szCs w:val="24"/>
          <w:lang w:val="en-US" w:eastAsia="en-US" w:bidi="ar-SA"/>
        </w:rPr>
        <w:t xml:space="preserve">360.755 </w:t>
      </w:r>
      <w:r>
        <w:rPr>
          <w:rFonts w:eastAsia="Arial Unicode MS" w:cs="Times New Roman"/>
          <w:color w:val="auto"/>
          <w:kern w:val="2"/>
          <w:sz w:val="24"/>
          <w:szCs w:val="24"/>
          <w:lang w:val="sr-RS" w:eastAsia="en-US" w:bidi="ar-SA"/>
        </w:rPr>
        <w:t xml:space="preserve">динара </w:t>
      </w:r>
      <w:r>
        <w:rPr>
          <w:lang w:val="sr-RS"/>
        </w:rPr>
        <w:t>бити извдвојено на име пренетих обавеза ЛАПЗ из 2019. године за програм „Стручна пракса“.</w:t>
      </w:r>
    </w:p>
    <w:p>
      <w:pPr>
        <w:pStyle w:val="Normal"/>
        <w:tabs>
          <w:tab w:val="clear" w:pos="709"/>
          <w:tab w:val="left" w:pos="2640" w:leader="none"/>
        </w:tabs>
        <w:rPr/>
      </w:pPr>
      <w:r>
        <w:rPr/>
      </w:r>
    </w:p>
    <w:p>
      <w:pPr>
        <w:pStyle w:val="Normal"/>
        <w:tabs>
          <w:tab w:val="clear" w:pos="709"/>
          <w:tab w:val="left" w:pos="2640" w:leader="none"/>
        </w:tabs>
        <w:jc w:val="center"/>
        <w:rPr/>
      </w:pPr>
      <w:r>
        <w:rPr>
          <w:b/>
          <w:lang w:val="sr-RS"/>
        </w:rPr>
        <w:t xml:space="preserve"> </w:t>
      </w:r>
    </w:p>
    <w:p>
      <w:pPr>
        <w:pStyle w:val="Normal"/>
        <w:widowControl w:val="false"/>
        <w:numPr>
          <w:ilvl w:val="0"/>
          <w:numId w:val="0"/>
        </w:numPr>
        <w:suppressAutoHyphens w:val="true"/>
        <w:bidi w:val="0"/>
        <w:spacing w:lineRule="auto" w:line="240" w:before="0" w:after="0"/>
        <w:ind w:right="0" w:hanging="0"/>
        <w:contextualSpacing/>
        <w:jc w:val="both"/>
        <w:rPr>
          <w:rFonts w:cs="Times New Roman"/>
          <w:b/>
          <w:b/>
          <w:bCs/>
          <w:iCs/>
          <w:lang w:val="sr-Latn-RS" w:eastAsia="en-GB"/>
        </w:rPr>
      </w:pPr>
      <w:r>
        <w:rPr>
          <w:rFonts w:cs="Times New Roman"/>
          <w:b/>
          <w:bCs/>
          <w:iCs/>
          <w:lang w:val="sr-Latn-RS" w:eastAsia="en-GB"/>
        </w:rPr>
      </w:r>
    </w:p>
    <w:p>
      <w:pPr>
        <w:pStyle w:val="Normal"/>
        <w:widowControl w:val="false"/>
        <w:numPr>
          <w:ilvl w:val="0"/>
          <w:numId w:val="0"/>
        </w:numPr>
        <w:suppressAutoHyphens w:val="true"/>
        <w:bidi w:val="0"/>
        <w:spacing w:lineRule="auto" w:line="240" w:before="0" w:after="0"/>
        <w:ind w:right="0" w:hanging="0"/>
        <w:contextualSpacing/>
        <w:jc w:val="center"/>
        <w:rPr/>
      </w:pPr>
      <w:r>
        <w:rPr>
          <w:rFonts w:cs="Times New Roman"/>
          <w:b/>
          <w:bCs/>
          <w:iCs/>
          <w:lang w:val="sr-Latn-RS" w:eastAsia="en-GB"/>
        </w:rPr>
        <w:t xml:space="preserve"> </w:t>
      </w:r>
      <w:r>
        <w:rPr>
          <w:rFonts w:cs="Times New Roman"/>
          <w:b/>
          <w:bCs/>
          <w:iCs/>
          <w:lang w:val="sr-RS" w:eastAsia="en-GB"/>
        </w:rPr>
        <w:t xml:space="preserve">1. Субвенције за запошљавање незапослених лица из категорије теже запошљивих </w:t>
      </w:r>
    </w:p>
    <w:p>
      <w:pPr>
        <w:pStyle w:val="Normal"/>
        <w:spacing w:lineRule="auto" w:line="240" w:before="0" w:after="0"/>
        <w:ind w:left="1065" w:right="0" w:hanging="0"/>
        <w:contextualSpacing/>
        <w:jc w:val="both"/>
        <w:rPr>
          <w:rFonts w:ascii="Times New Roman" w:hAnsi="Times New Roman" w:cs="Times New Roman"/>
          <w:b/>
          <w:b/>
          <w:bCs/>
          <w:iCs/>
          <w:lang w:val="sr-RS" w:eastAsia="en-GB"/>
        </w:rPr>
      </w:pPr>
      <w:r>
        <w:rPr>
          <w:rFonts w:cs="Times New Roman"/>
          <w:b/>
          <w:bCs/>
          <w:iCs/>
          <w:lang w:val="sr-RS" w:eastAsia="en-GB"/>
        </w:rPr>
      </w:r>
    </w:p>
    <w:p>
      <w:pPr>
        <w:pStyle w:val="Normal"/>
        <w:spacing w:lineRule="auto" w:line="240" w:before="0" w:after="0"/>
        <w:ind w:left="0" w:right="0" w:firstLine="720"/>
        <w:jc w:val="both"/>
        <w:rPr/>
      </w:pPr>
      <w:r>
        <w:rPr>
          <w:rFonts w:cs="Times New Roman"/>
          <w:lang w:val="sr-RS" w:eastAsia="en-GB"/>
        </w:rPr>
        <w:t xml:space="preserve">Субвенција за запошљавање незапослених </w:t>
      </w:r>
      <w:r>
        <w:rPr>
          <w:rFonts w:cs="Times New Roman"/>
          <w:bCs/>
          <w:iCs/>
          <w:lang w:val="sr-RS"/>
        </w:rPr>
        <w:t>лица из категорије теже запошљивих на новоотвореним радним местима</w:t>
      </w:r>
      <w:r>
        <w:rPr>
          <w:rFonts w:cs="Times New Roman"/>
          <w:lang w:val="sr-RS"/>
        </w:rPr>
        <w:t xml:space="preserve"> подразумева финансијски подстицај у једнократном износу послодавцима из приватног сектора за отварање нових радних места на којима ће се запошљавати незапослена лица из категорије теже запошљивих и то: </w:t>
      </w:r>
    </w:p>
    <w:p>
      <w:pPr>
        <w:pStyle w:val="Normal"/>
        <w:spacing w:lineRule="auto" w:line="240" w:before="0" w:after="0"/>
        <w:jc w:val="both"/>
        <w:rPr>
          <w:rFonts w:ascii="Times New Roman" w:hAnsi="Times New Roman" w:eastAsia="Calibri" w:cs="Times New Roman"/>
          <w:lang w:val="sr-RS" w:eastAsia="en-GB"/>
        </w:rPr>
      </w:pPr>
      <w:r>
        <w:rPr>
          <w:rFonts w:eastAsia="Calibri" w:cs="Times New Roman"/>
          <w:lang w:val="sr-RS" w:eastAsia="en-GB"/>
        </w:rPr>
      </w:r>
    </w:p>
    <w:p>
      <w:pPr>
        <w:pStyle w:val="Normal"/>
        <w:numPr>
          <w:ilvl w:val="0"/>
          <w:numId w:val="4"/>
        </w:numPr>
        <w:spacing w:lineRule="auto" w:line="240" w:before="0" w:after="0"/>
        <w:jc w:val="both"/>
        <w:rPr/>
      </w:pPr>
      <w:r>
        <w:rPr>
          <w:rFonts w:eastAsia="Calibri" w:cs="Times New Roman"/>
          <w:lang w:val="sr-RS" w:eastAsia="en-GB"/>
        </w:rPr>
        <w:t xml:space="preserve">млади до 30 година старости - без квалификација/са ниским квалификацијама, </w:t>
      </w:r>
      <w:r>
        <w:rPr>
          <w:rFonts w:eastAsia="Calibri" w:cs="Times New Roman"/>
          <w:bCs/>
          <w:lang w:val="sr-RS" w:eastAsia="en-GB"/>
        </w:rPr>
        <w:t>млади у домском смештају, хранитељским породицама и старатељским породицама;</w:t>
      </w:r>
    </w:p>
    <w:p>
      <w:pPr>
        <w:pStyle w:val="Normal"/>
        <w:numPr>
          <w:ilvl w:val="0"/>
          <w:numId w:val="4"/>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старији од 50 година;</w:t>
      </w:r>
    </w:p>
    <w:p>
      <w:pPr>
        <w:pStyle w:val="Normal"/>
        <w:numPr>
          <w:ilvl w:val="0"/>
          <w:numId w:val="4"/>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вишкови запослених;</w:t>
      </w:r>
    </w:p>
    <w:p>
      <w:pPr>
        <w:pStyle w:val="Normal"/>
        <w:numPr>
          <w:ilvl w:val="0"/>
          <w:numId w:val="4"/>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Роми;</w:t>
      </w:r>
    </w:p>
    <w:p>
      <w:pPr>
        <w:pStyle w:val="Normal"/>
        <w:numPr>
          <w:ilvl w:val="0"/>
          <w:numId w:val="4"/>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особе са инвалидитетом;</w:t>
      </w:r>
    </w:p>
    <w:p>
      <w:pPr>
        <w:pStyle w:val="Normal"/>
        <w:numPr>
          <w:ilvl w:val="0"/>
          <w:numId w:val="4"/>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радно способни корисници новчане социјалне помоћи;</w:t>
      </w:r>
    </w:p>
    <w:p>
      <w:pPr>
        <w:pStyle w:val="Normal"/>
        <w:numPr>
          <w:ilvl w:val="0"/>
          <w:numId w:val="4"/>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дугорочно незапослени;</w:t>
      </w:r>
    </w:p>
    <w:p>
      <w:pPr>
        <w:pStyle w:val="Normal"/>
        <w:numPr>
          <w:ilvl w:val="0"/>
          <w:numId w:val="4"/>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жртве породичног насиља.</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Висина субвенције за запошљавање незапослених лица из категорије теже запошљивих у 2019. години, према степену развијености јединица локалне самоуправе утврђеним у складу са посебним прописом Владе износи:</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1) за прву групу (изнад републичког просека) и другу групу (у распону од 80% до 100% републичког просека) - 200.000,00 динара по кориснику;</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2) за трећу групу (у распону од 60% до 80% републичког просека) - 225.000,00 динара по кориснику;</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 xml:space="preserve">3) 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pPr>
        <w:pStyle w:val="Normal"/>
        <w:spacing w:lineRule="auto" w:line="240" w:before="0" w:after="0"/>
        <w:ind w:left="0" w:right="0" w:firstLine="708"/>
        <w:jc w:val="both"/>
        <w:rPr>
          <w:rFonts w:ascii="Times New Roman" w:hAnsi="Times New Roman" w:cs="Times New Roman"/>
          <w:i/>
          <w:i/>
          <w:lang w:val="sr-RS"/>
        </w:rPr>
      </w:pPr>
      <w:r>
        <w:rPr>
          <w:rFonts w:cs="Times New Roman"/>
          <w:i/>
          <w:lang w:val="sr-RS"/>
        </w:rPr>
      </w:r>
    </w:p>
    <w:p>
      <w:pPr>
        <w:pStyle w:val="Normal"/>
        <w:spacing w:lineRule="auto" w:line="240" w:before="0" w:after="0"/>
        <w:ind w:left="0" w:right="0" w:firstLine="708"/>
        <w:jc w:val="both"/>
        <w:rPr>
          <w:rFonts w:ascii="Times New Roman" w:hAnsi="Times New Roman" w:eastAsia="Calibri" w:cs="Times New Roman"/>
          <w:lang w:val="sr-RS" w:eastAsia="en-GB"/>
        </w:rPr>
      </w:pPr>
      <w:r>
        <w:rPr>
          <w:rFonts w:eastAsia="Calibri" w:cs="Times New Roman"/>
          <w:lang w:val="sr-RS" w:eastAsia="en-GB"/>
        </w:rPr>
        <w:t>Наведени износи субвенције се за запошљавање следећих категорија теже запошљивих лица и то:</w:t>
      </w:r>
    </w:p>
    <w:p>
      <w:pPr>
        <w:pStyle w:val="Normal"/>
        <w:numPr>
          <w:ilvl w:val="0"/>
          <w:numId w:val="6"/>
        </w:numPr>
        <w:spacing w:lineRule="auto" w:line="240" w:before="0" w:after="0"/>
        <w:jc w:val="both"/>
        <w:rPr>
          <w:rFonts w:ascii="Times New Roman" w:hAnsi="Times New Roman" w:eastAsia="Calibri" w:cs="Times New Roman"/>
          <w:lang w:val="sr-RS" w:eastAsia="en-GB"/>
        </w:rPr>
      </w:pPr>
      <w:r>
        <w:rPr>
          <w:rFonts w:eastAsia="Calibri" w:cs="Times New Roman"/>
          <w:lang w:val="sr-RS" w:eastAsia="en-GB"/>
        </w:rPr>
        <w:t xml:space="preserve">особе са инвалидитетом; </w:t>
      </w:r>
    </w:p>
    <w:p>
      <w:pPr>
        <w:pStyle w:val="Normal"/>
        <w:numPr>
          <w:ilvl w:val="0"/>
          <w:numId w:val="6"/>
        </w:numPr>
        <w:spacing w:lineRule="auto" w:line="240" w:before="0" w:after="0"/>
        <w:jc w:val="both"/>
        <w:rPr>
          <w:rFonts w:ascii="Times New Roman" w:hAnsi="Times New Roman" w:eastAsia="Calibri" w:cs="Times New Roman"/>
          <w:lang w:val="sr-RS" w:eastAsia="en-GB"/>
        </w:rPr>
      </w:pPr>
      <w:r>
        <w:rPr>
          <w:rFonts w:eastAsia="Calibri" w:cs="Times New Roman"/>
          <w:lang w:val="sr-RS" w:eastAsia="en-GB"/>
        </w:rPr>
        <w:t>радно способни корисници новчане социјалне помоћи;</w:t>
      </w:r>
    </w:p>
    <w:p>
      <w:pPr>
        <w:pStyle w:val="Normal"/>
        <w:numPr>
          <w:ilvl w:val="0"/>
          <w:numId w:val="6"/>
        </w:numPr>
        <w:spacing w:lineRule="auto" w:line="240" w:before="0" w:after="0"/>
        <w:jc w:val="both"/>
        <w:rPr/>
      </w:pPr>
      <w:r>
        <w:rPr>
          <w:rFonts w:eastAsia="Calibri" w:cs="Times New Roman"/>
          <w:lang w:val="sr-RS" w:eastAsia="en-GB"/>
        </w:rPr>
        <w:t xml:space="preserve"> </w:t>
      </w:r>
      <w:r>
        <w:rPr>
          <w:rFonts w:eastAsia="Calibri" w:cs="Times New Roman"/>
          <w:bCs/>
          <w:lang w:val="sr-RS" w:eastAsia="en-GB"/>
        </w:rPr>
        <w:t>млади у домском смештају, хранитељским породицама и старатељским породицама</w:t>
      </w:r>
      <w:r>
        <w:rPr>
          <w:rFonts w:eastAsia="Calibri" w:cs="Times New Roman"/>
          <w:lang w:val="sr-RS" w:eastAsia="en-GB"/>
        </w:rPr>
        <w:t xml:space="preserve"> и</w:t>
      </w:r>
    </w:p>
    <w:p>
      <w:pPr>
        <w:pStyle w:val="Normal"/>
        <w:numPr>
          <w:ilvl w:val="0"/>
          <w:numId w:val="6"/>
        </w:numPr>
        <w:spacing w:lineRule="auto" w:line="240" w:before="0" w:after="0"/>
        <w:jc w:val="both"/>
        <w:rPr>
          <w:rFonts w:ascii="Times New Roman" w:hAnsi="Times New Roman" w:eastAsia="Calibri" w:cs="Times New Roman"/>
          <w:lang w:val="sr-RS" w:eastAsia="en-GB"/>
        </w:rPr>
      </w:pPr>
      <w:r>
        <w:rPr>
          <w:rFonts w:eastAsia="Calibri" w:cs="Times New Roman"/>
          <w:lang w:val="sr-RS" w:eastAsia="en-GB"/>
        </w:rPr>
        <w:t>жртве породичног насиља,</w:t>
      </w:r>
    </w:p>
    <w:p>
      <w:pPr>
        <w:pStyle w:val="Normal"/>
        <w:spacing w:lineRule="auto" w:line="240" w:before="0" w:after="0"/>
        <w:jc w:val="both"/>
        <w:rPr>
          <w:rFonts w:ascii="Times New Roman" w:hAnsi="Times New Roman" w:eastAsia="Calibri" w:cs="Times New Roman"/>
          <w:lang w:val="sr-RS" w:eastAsia="en-GB"/>
        </w:rPr>
      </w:pPr>
      <w:r>
        <w:rPr>
          <w:rFonts w:eastAsia="Calibri" w:cs="Times New Roman"/>
          <w:lang w:val="sr-RS" w:eastAsia="en-GB"/>
        </w:rPr>
      </w:r>
    </w:p>
    <w:p>
      <w:pPr>
        <w:pStyle w:val="Normal"/>
        <w:spacing w:lineRule="auto" w:line="240" w:before="0" w:after="0"/>
        <w:jc w:val="both"/>
        <w:rPr>
          <w:rFonts w:ascii="Times New Roman" w:hAnsi="Times New Roman" w:eastAsia="Calibri" w:cs="Times New Roman"/>
          <w:lang w:val="sr-RS" w:eastAsia="en-GB"/>
        </w:rPr>
      </w:pPr>
      <w:r>
        <w:rPr>
          <w:rFonts w:eastAsia="Calibri" w:cs="Times New Roman"/>
          <w:lang w:val="sr-RS" w:eastAsia="en-GB"/>
        </w:rPr>
        <w:t>увећавају за 20% тако да износе:</w:t>
      </w:r>
    </w:p>
    <w:p>
      <w:pPr>
        <w:pStyle w:val="Normal"/>
        <w:numPr>
          <w:ilvl w:val="0"/>
          <w:numId w:val="5"/>
        </w:numPr>
        <w:spacing w:lineRule="auto" w:line="240" w:before="0" w:after="0"/>
        <w:jc w:val="both"/>
        <w:rPr>
          <w:rFonts w:ascii="Times New Roman" w:hAnsi="Times New Roman" w:cs="Times New Roman"/>
          <w:lang w:val="sr-RS"/>
        </w:rPr>
      </w:pPr>
      <w:r>
        <w:rPr>
          <w:rFonts w:cs="Times New Roman"/>
          <w:lang w:val="sr-RS"/>
        </w:rPr>
        <w:t>за прву групу (изнад републичког просека) и за другу групу (у распону од 80% до 100% републичког просека) - 240.000,00 динара по кориснику;</w:t>
      </w:r>
    </w:p>
    <w:p>
      <w:pPr>
        <w:pStyle w:val="Normal"/>
        <w:numPr>
          <w:ilvl w:val="0"/>
          <w:numId w:val="5"/>
        </w:numPr>
        <w:spacing w:lineRule="auto" w:line="240" w:before="0" w:after="0"/>
        <w:jc w:val="both"/>
        <w:rPr>
          <w:rFonts w:ascii="Times New Roman" w:hAnsi="Times New Roman" w:cs="Times New Roman"/>
          <w:lang w:val="sr-RS"/>
        </w:rPr>
      </w:pPr>
      <w:r>
        <w:rPr>
          <w:rFonts w:cs="Times New Roman"/>
          <w:lang w:val="sr-RS"/>
        </w:rPr>
        <w:t>за трећу групу (у распону од 60% до 80% републичког просека) - 270.000,00 динара по кориснику;</w:t>
      </w:r>
    </w:p>
    <w:p>
      <w:pPr>
        <w:pStyle w:val="Normal"/>
        <w:numPr>
          <w:ilvl w:val="0"/>
          <w:numId w:val="5"/>
        </w:numPr>
        <w:spacing w:lineRule="auto" w:line="240" w:before="0" w:after="0"/>
        <w:jc w:val="both"/>
        <w:rPr>
          <w:rFonts w:ascii="Times New Roman" w:hAnsi="Times New Roman" w:cs="Times New Roman"/>
          <w:lang w:val="sr-RS"/>
        </w:rPr>
      </w:pPr>
      <w:r>
        <w:rPr>
          <w:rFonts w:cs="Times New Roman"/>
          <w:lang w:val="sr-RS"/>
        </w:rPr>
        <w:t>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Реализација програма прати се 12 месеци.</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r>
    </w:p>
    <w:p>
      <w:pPr>
        <w:pStyle w:val="Normal"/>
        <w:spacing w:lineRule="auto" w:line="240" w:before="0" w:after="0"/>
        <w:ind w:left="0" w:right="0" w:hanging="0"/>
        <w:jc w:val="both"/>
        <w:rPr/>
      </w:pPr>
      <w:r>
        <w:rPr>
          <w:rFonts w:cs="Times New Roman"/>
          <w:b/>
          <w:bCs/>
          <w:lang w:val="en-US"/>
        </w:rPr>
        <w:t xml:space="preserve">                                                </w:t>
      </w:r>
      <w:r>
        <w:rPr>
          <w:rFonts w:cs="Times New Roman"/>
          <w:b/>
          <w:bCs/>
          <w:lang w:val="en-US"/>
        </w:rPr>
        <w:t xml:space="preserve">2.   </w:t>
      </w:r>
      <w:r>
        <w:rPr>
          <w:rFonts w:cs="Times New Roman"/>
          <w:b/>
          <w:bCs/>
          <w:lang w:val="sr-RS"/>
        </w:rPr>
        <w:t>Подршка самозапошљавању</w:t>
      </w:r>
    </w:p>
    <w:p>
      <w:pPr>
        <w:pStyle w:val="Normal"/>
        <w:spacing w:lineRule="auto" w:line="240" w:before="0" w:after="0"/>
        <w:ind w:left="0" w:right="0" w:firstLine="708"/>
        <w:jc w:val="both"/>
        <w:rPr>
          <w:rFonts w:ascii="Times New Roman" w:hAnsi="Times New Roman" w:cs="Times New Roman"/>
          <w:b/>
          <w:b/>
          <w:bCs/>
          <w:lang w:val="sr-RS"/>
        </w:rPr>
      </w:pPr>
      <w:r>
        <w:rPr>
          <w:rFonts w:cs="Times New Roman"/>
          <w:b/>
          <w:bCs/>
          <w:lang w:val="sr-RS"/>
        </w:rPr>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 xml:space="preserve">Подршка самозапошљавању обухвата стручну помоћ и средства у виду субвенције за самозапошљавање. </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pPr>
        <w:pStyle w:val="Normal"/>
        <w:spacing w:lineRule="auto" w:line="240" w:before="0" w:after="0"/>
        <w:ind w:left="0" w:right="0" w:firstLine="708"/>
        <w:jc w:val="both"/>
        <w:rPr/>
      </w:pPr>
      <w:r>
        <w:rPr>
          <w:rFonts w:cs="Times New Roman"/>
          <w:lang w:val="sr-RS"/>
        </w:rPr>
        <w:t xml:space="preserve">Средства за самозапошљавање у 2020.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Приоритет код одобравања субвенције за самозапошљавање имају:</w:t>
      </w:r>
    </w:p>
    <w:p>
      <w:pPr>
        <w:pStyle w:val="Normal"/>
        <w:numPr>
          <w:ilvl w:val="0"/>
          <w:numId w:val="7"/>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 xml:space="preserve">- млади до 30 година старости, </w:t>
      </w:r>
    </w:p>
    <w:p>
      <w:pPr>
        <w:pStyle w:val="Normal"/>
        <w:numPr>
          <w:ilvl w:val="0"/>
          <w:numId w:val="7"/>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 вишкови запослених,</w:t>
      </w:r>
    </w:p>
    <w:p>
      <w:pPr>
        <w:pStyle w:val="Normal"/>
        <w:numPr>
          <w:ilvl w:val="0"/>
          <w:numId w:val="7"/>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 xml:space="preserve">- Роми, </w:t>
      </w:r>
    </w:p>
    <w:p>
      <w:pPr>
        <w:pStyle w:val="Normal"/>
        <w:numPr>
          <w:ilvl w:val="0"/>
          <w:numId w:val="7"/>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 особе са инвалидитетом,</w:t>
      </w:r>
    </w:p>
    <w:p>
      <w:pPr>
        <w:pStyle w:val="Normal"/>
        <w:numPr>
          <w:ilvl w:val="0"/>
          <w:numId w:val="7"/>
        </w:numPr>
        <w:spacing w:lineRule="auto" w:line="240" w:before="0" w:after="0"/>
        <w:contextualSpacing/>
        <w:jc w:val="both"/>
        <w:rPr>
          <w:rFonts w:ascii="Times New Roman" w:hAnsi="Times New Roman" w:cs="Times New Roman"/>
          <w:iCs/>
          <w:lang w:val="sr-RS" w:eastAsia="en-GB"/>
        </w:rPr>
      </w:pPr>
      <w:r>
        <w:rPr>
          <w:rFonts w:cs="Times New Roman"/>
          <w:iCs/>
          <w:lang w:val="sr-RS" w:eastAsia="en-GB"/>
        </w:rPr>
        <w:t>- жене.</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 xml:space="preserve">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pPr>
        <w:pStyle w:val="Normal"/>
        <w:spacing w:lineRule="auto" w:line="240" w:before="0" w:after="0"/>
        <w:ind w:left="0" w:right="0" w:firstLine="708"/>
        <w:jc w:val="both"/>
        <w:rPr>
          <w:rFonts w:ascii="Times New Roman" w:hAnsi="Times New Roman" w:cs="Times New Roman"/>
          <w:lang w:val="sr-RS"/>
        </w:rPr>
      </w:pPr>
      <w:r>
        <w:rPr>
          <w:rFonts w:cs="Times New Roman"/>
          <w:lang w:val="sr-RS"/>
        </w:rPr>
        <w:t>Реализација програма прати се 12 месеци.</w:t>
      </w:r>
    </w:p>
    <w:p>
      <w:pPr>
        <w:pStyle w:val="Normal"/>
        <w:spacing w:lineRule="auto" w:line="240" w:before="0" w:after="0"/>
        <w:ind w:left="0" w:right="0" w:firstLine="708"/>
        <w:jc w:val="both"/>
        <w:rPr>
          <w:rFonts w:ascii="Times New Roman" w:hAnsi="Times New Roman" w:cs="Times New Roman"/>
          <w:b w:val="false"/>
          <w:b w:val="false"/>
          <w:bCs w:val="false"/>
          <w:lang w:val="sr-RS"/>
        </w:rPr>
      </w:pPr>
      <w:r>
        <w:rPr>
          <w:rFonts w:cs="Times New Roman"/>
          <w:b w:val="false"/>
          <w:bCs w:val="false"/>
          <w:lang w:val="sr-RS"/>
        </w:rPr>
      </w:r>
    </w:p>
    <w:p>
      <w:pPr>
        <w:pStyle w:val="Normal"/>
        <w:spacing w:lineRule="auto" w:line="240" w:before="0" w:after="0"/>
        <w:ind w:left="0" w:right="0" w:firstLine="708"/>
        <w:jc w:val="both"/>
        <w:rPr>
          <w:rFonts w:ascii="Times New Roman" w:hAnsi="Times New Roman" w:cs="Times New Roman"/>
          <w:b w:val="false"/>
          <w:b w:val="false"/>
          <w:bCs w:val="false"/>
          <w:lang w:val="sr-RS"/>
        </w:rPr>
      </w:pPr>
      <w:r>
        <w:rPr>
          <w:rFonts w:cs="Times New Roman"/>
          <w:b w:val="false"/>
          <w:bCs w:val="false"/>
          <w:lang w:val="sr-RS"/>
        </w:rPr>
        <w:t>Кориснику новчане накнаде за случај незапослености може се, ради самозапошљавања, исплатити новчана накнада у једнократном износу без доприноса за обавезно социјално осигурање.</w:t>
      </w:r>
    </w:p>
    <w:p>
      <w:pPr>
        <w:pStyle w:val="Normal"/>
        <w:tabs>
          <w:tab w:val="clear" w:pos="709"/>
          <w:tab w:val="left" w:pos="2640" w:leader="none"/>
        </w:tabs>
        <w:rPr>
          <w:b/>
          <w:b/>
          <w:bCs/>
        </w:rPr>
      </w:pPr>
      <w:r>
        <w:rPr>
          <w:b/>
          <w:bCs/>
        </w:rPr>
      </w:r>
    </w:p>
    <w:p>
      <w:pPr>
        <w:pStyle w:val="Normal"/>
        <w:widowControl/>
        <w:suppressAutoHyphens w:val="false"/>
        <w:ind w:right="0" w:hanging="0"/>
        <w:jc w:val="center"/>
        <w:rPr>
          <w:b/>
          <w:b/>
          <w:bCs/>
          <w:sz w:val="22"/>
          <w:szCs w:val="22"/>
          <w:lang w:val="sr-RS"/>
        </w:rPr>
      </w:pPr>
      <w:r>
        <w:rPr>
          <w:b/>
          <w:bCs/>
          <w:sz w:val="22"/>
          <w:szCs w:val="22"/>
          <w:lang w:val="en-US"/>
        </w:rPr>
        <w:t>3.</w:t>
      </w:r>
      <w:r>
        <w:rPr>
          <w:b/>
          <w:bCs/>
          <w:sz w:val="22"/>
          <w:szCs w:val="22"/>
          <w:lang w:val="sr-RS"/>
        </w:rPr>
        <w:t xml:space="preserve"> Јавни радови</w:t>
      </w:r>
    </w:p>
    <w:p>
      <w:pPr>
        <w:pStyle w:val="Normal"/>
        <w:widowControl/>
        <w:suppressAutoHyphens w:val="false"/>
        <w:ind w:left="705" w:right="0" w:hanging="0"/>
        <w:jc w:val="center"/>
        <w:rPr>
          <w:b/>
          <w:b/>
          <w:bCs/>
          <w:sz w:val="22"/>
          <w:szCs w:val="22"/>
          <w:lang w:val="sr-RS"/>
        </w:rPr>
      </w:pPr>
      <w:r>
        <w:rPr>
          <w:b/>
          <w:bCs/>
          <w:sz w:val="22"/>
          <w:szCs w:val="22"/>
          <w:lang w:val="sr-RS"/>
        </w:rPr>
      </w:r>
    </w:p>
    <w:p>
      <w:pPr>
        <w:pStyle w:val="Normal"/>
        <w:spacing w:lineRule="auto" w:line="240" w:before="0" w:after="0"/>
        <w:ind w:firstLine="708"/>
        <w:jc w:val="both"/>
        <w:rPr/>
      </w:pPr>
      <w:r>
        <w:rPr>
          <w:rFonts w:cs="Times New Roman"/>
          <w:lang w:val="sr-RS"/>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pPr>
        <w:pStyle w:val="Normal"/>
        <w:spacing w:lineRule="auto" w:line="240" w:before="0" w:after="0"/>
        <w:ind w:firstLine="708"/>
        <w:jc w:val="both"/>
        <w:rPr/>
      </w:pPr>
      <w:r>
        <w:rPr>
          <w:rFonts w:cs="Times New Roman"/>
          <w:lang w:val="sr-R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pPr>
        <w:pStyle w:val="Normal"/>
        <w:spacing w:lineRule="auto" w:line="240" w:before="0" w:after="0"/>
        <w:ind w:firstLine="708"/>
        <w:jc w:val="both"/>
        <w:rPr/>
      </w:pPr>
      <w:r>
        <w:rPr>
          <w:rFonts w:cs="Times New Roman"/>
          <w:lang w:val="sr-RS"/>
        </w:rPr>
        <w:t>1) трећој групи (у распону од 60% до 80% републичког просека) и</w:t>
      </w:r>
    </w:p>
    <w:p>
      <w:pPr>
        <w:pStyle w:val="Normal"/>
        <w:spacing w:lineRule="auto" w:line="240" w:before="0" w:after="0"/>
        <w:ind w:firstLine="708"/>
        <w:jc w:val="both"/>
        <w:rPr/>
      </w:pPr>
      <w:r>
        <w:rPr>
          <w:rFonts w:cs="Times New Roman"/>
          <w:lang w:val="sr-RS"/>
        </w:rPr>
        <w:t>2) четвртoj групи (степен развијености испод 60% републичког просека) и девастираним подручјима (степен развијености испод 50% републичког просека).</w:t>
      </w:r>
    </w:p>
    <w:p>
      <w:pPr>
        <w:pStyle w:val="Normal"/>
        <w:spacing w:lineRule="auto" w:line="240" w:before="0" w:after="0"/>
        <w:ind w:firstLine="708"/>
        <w:jc w:val="both"/>
        <w:rPr/>
      </w:pPr>
      <w:r>
        <w:rPr>
          <w:rFonts w:cs="Times New Roman"/>
          <w:lang w:val="sr-RS"/>
        </w:rPr>
        <w:t xml:space="preserve">У укупном броју незапослених лица укључених у програм јавних радова, осим особа са инвалидитетом чији је број посебно утврђен, </w:t>
      </w:r>
      <w:r>
        <w:rPr>
          <w:rFonts w:cs="Times New Roman"/>
          <w:bCs/>
          <w:lang w:val="sr-RS"/>
        </w:rPr>
        <w:t>н</w:t>
      </w:r>
      <w:r>
        <w:rPr>
          <w:rFonts w:cs="Times New Roman"/>
          <w:lang w:val="sr-RS"/>
        </w:rPr>
        <w:t>ајмање 70% незапослених лица треба да припада следећим категоријама који су на евиденцији незапослених најмање 6 месеци:</w:t>
      </w:r>
    </w:p>
    <w:p>
      <w:pPr>
        <w:pStyle w:val="Normal"/>
        <w:spacing w:lineRule="auto" w:line="240" w:before="0" w:after="0"/>
        <w:ind w:firstLine="708"/>
        <w:jc w:val="both"/>
        <w:rPr>
          <w:rFonts w:ascii="Times New Roman" w:hAnsi="Times New Roman" w:cs="Times New Roman"/>
          <w:lang w:val="sr-RS"/>
        </w:rPr>
      </w:pPr>
      <w:r>
        <w:rPr>
          <w:rFonts w:cs="Times New Roman"/>
          <w:lang w:val="sr-RS"/>
        </w:rPr>
      </w:r>
    </w:p>
    <w:p>
      <w:pPr>
        <w:pStyle w:val="Normal"/>
        <w:numPr>
          <w:ilvl w:val="0"/>
          <w:numId w:val="8"/>
        </w:numPr>
        <w:spacing w:lineRule="auto" w:line="240" w:before="0" w:after="0"/>
        <w:contextualSpacing/>
        <w:jc w:val="both"/>
        <w:rPr/>
      </w:pPr>
      <w:r>
        <w:rPr>
          <w:rFonts w:cs="Times New Roman"/>
          <w:iCs/>
          <w:lang w:val="sr-RS" w:eastAsia="en-GB"/>
        </w:rPr>
        <w:t xml:space="preserve">1. радно способни корисници новчане социјалне помоћи; </w:t>
      </w:r>
    </w:p>
    <w:p>
      <w:pPr>
        <w:pStyle w:val="Normal"/>
        <w:numPr>
          <w:ilvl w:val="0"/>
          <w:numId w:val="8"/>
        </w:numPr>
        <w:spacing w:lineRule="auto" w:line="240" w:before="0" w:after="0"/>
        <w:contextualSpacing/>
        <w:jc w:val="both"/>
        <w:rPr/>
      </w:pPr>
      <w:r>
        <w:rPr>
          <w:rFonts w:cs="Times New Roman"/>
          <w:iCs/>
          <w:lang w:val="sr-RS" w:eastAsia="en-GB"/>
        </w:rPr>
        <w:t>2. Роми;</w:t>
      </w:r>
    </w:p>
    <w:p>
      <w:pPr>
        <w:pStyle w:val="Normal"/>
        <w:numPr>
          <w:ilvl w:val="0"/>
          <w:numId w:val="8"/>
        </w:numPr>
        <w:spacing w:lineRule="auto" w:line="240" w:before="0" w:after="0"/>
        <w:contextualSpacing/>
        <w:jc w:val="both"/>
        <w:rPr/>
      </w:pPr>
      <w:r>
        <w:rPr>
          <w:rFonts w:cs="Times New Roman"/>
          <w:iCs/>
          <w:lang w:val="sr-RS" w:eastAsia="en-GB"/>
        </w:rPr>
        <w:t>3. лица без квалификација/са ниским квалификацијама;</w:t>
      </w:r>
    </w:p>
    <w:p>
      <w:pPr>
        <w:pStyle w:val="Normal"/>
        <w:numPr>
          <w:ilvl w:val="0"/>
          <w:numId w:val="8"/>
        </w:numPr>
        <w:spacing w:lineRule="auto" w:line="240" w:before="0" w:after="0"/>
        <w:contextualSpacing/>
        <w:jc w:val="both"/>
        <w:rPr/>
      </w:pPr>
      <w:r>
        <w:rPr>
          <w:rFonts w:cs="Times New Roman"/>
          <w:iCs/>
          <w:lang w:val="sr-RS" w:eastAsia="en-GB"/>
        </w:rPr>
        <w:t xml:space="preserve">4. лица која посао траже дуже од 18 месеци </w:t>
      </w:r>
      <w:r>
        <w:rPr>
          <w:rFonts w:cs="Times New Roman"/>
          <w:iCs/>
          <w:lang w:val="sr-Latn-RS" w:eastAsia="en-GB"/>
        </w:rPr>
        <w:t>a</w:t>
      </w:r>
      <w:r>
        <w:rPr>
          <w:rFonts w:cs="Times New Roman"/>
          <w:iCs/>
          <w:lang w:val="sr-RS" w:eastAsia="en-GB"/>
        </w:rPr>
        <w:t xml:space="preserve"> не припадају категоријама из тачке 1</w:t>
      </w:r>
      <w:r>
        <w:rPr>
          <w:rFonts w:cs="Times New Roman"/>
          <w:iCs/>
          <w:lang w:val="sr-Latn-RS" w:eastAsia="en-GB"/>
        </w:rPr>
        <w:t>.</w:t>
      </w:r>
      <w:r>
        <w:rPr>
          <w:rFonts w:cs="Times New Roman"/>
          <w:iCs/>
          <w:lang w:val="sr-RS" w:eastAsia="en-GB"/>
        </w:rPr>
        <w:t>,</w:t>
      </w:r>
      <w:r>
        <w:rPr>
          <w:rFonts w:cs="Times New Roman"/>
          <w:iCs/>
          <w:lang w:val="sr-Latn-RS" w:eastAsia="en-GB"/>
        </w:rPr>
        <w:t xml:space="preserve"> </w:t>
      </w:r>
      <w:r>
        <w:rPr>
          <w:rFonts w:cs="Times New Roman"/>
          <w:iCs/>
          <w:lang w:val="sr-RS" w:eastAsia="en-GB"/>
        </w:rPr>
        <w:t>2</w:t>
      </w:r>
      <w:r>
        <w:rPr>
          <w:rFonts w:cs="Times New Roman"/>
          <w:iCs/>
          <w:lang w:val="sr-Latn-RS" w:eastAsia="en-GB"/>
        </w:rPr>
        <w:t>.</w:t>
      </w:r>
      <w:r>
        <w:rPr>
          <w:rFonts w:cs="Times New Roman"/>
          <w:iCs/>
          <w:lang w:val="sr-RS" w:eastAsia="en-GB"/>
        </w:rPr>
        <w:t xml:space="preserve"> и 3. </w:t>
      </w:r>
    </w:p>
    <w:p>
      <w:pPr>
        <w:pStyle w:val="Normal"/>
        <w:spacing w:lineRule="auto" w:line="240" w:before="0" w:after="0"/>
        <w:ind w:firstLine="708"/>
        <w:jc w:val="both"/>
        <w:rPr>
          <w:rFonts w:ascii="Times New Roman" w:hAnsi="Times New Roman" w:cs="Times New Roman"/>
          <w:lang w:val="sr-RS"/>
        </w:rPr>
      </w:pPr>
      <w:r>
        <w:rPr>
          <w:rFonts w:cs="Times New Roman"/>
          <w:lang w:val="sr-RS"/>
        </w:rPr>
      </w:r>
    </w:p>
    <w:p>
      <w:pPr>
        <w:pStyle w:val="Normal"/>
        <w:spacing w:lineRule="auto" w:line="240" w:before="0" w:after="0"/>
        <w:ind w:firstLine="708"/>
        <w:jc w:val="both"/>
        <w:rPr/>
      </w:pPr>
      <w:r>
        <w:rPr>
          <w:rFonts w:cs="Times New Roman"/>
          <w:lang w:val="sr-RS"/>
        </w:rPr>
        <w:t>Утврђени проценат учешћа наведених категорија незапослених лица односи се на јавни рад који кроз редовне јавне конкурсе спроводи самостално НСЗ.</w:t>
      </w:r>
    </w:p>
    <w:p>
      <w:pPr>
        <w:pStyle w:val="Normal"/>
        <w:spacing w:lineRule="auto" w:line="240" w:before="0" w:after="0"/>
        <w:ind w:firstLine="708"/>
        <w:jc w:val="both"/>
        <w:rPr/>
      </w:pPr>
      <w:r>
        <w:rPr>
          <w:rFonts w:cs="Times New Roman"/>
          <w:lang w:val="sr-RS"/>
        </w:rPr>
        <w:t>На јавним радовима се радно ангажује најмање 5 (пет) незапослених лица из наведених категорија незапослених,.</w:t>
      </w:r>
    </w:p>
    <w:p>
      <w:pPr>
        <w:pStyle w:val="Normal"/>
        <w:spacing w:lineRule="auto" w:line="240" w:before="0" w:after="0"/>
        <w:ind w:firstLine="708"/>
        <w:jc w:val="both"/>
        <w:rPr/>
      </w:pPr>
      <w:r>
        <w:rPr>
          <w:rFonts w:cs="Times New Roman"/>
          <w:lang w:val="sr-R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Pr>
          <w:rFonts w:cs="Times New Roman"/>
          <w:b/>
          <w:lang w:val="sr-RS"/>
        </w:rPr>
        <w:t xml:space="preserve"> </w:t>
      </w:r>
    </w:p>
    <w:p>
      <w:pPr>
        <w:pStyle w:val="Normal"/>
        <w:spacing w:lineRule="auto" w:line="240" w:before="0" w:after="0"/>
        <w:ind w:firstLine="708"/>
        <w:jc w:val="both"/>
        <w:rPr/>
      </w:pPr>
      <w:r>
        <w:rPr>
          <w:rFonts w:cs="Times New Roman"/>
          <w:lang w:val="sr-RS"/>
        </w:rPr>
        <w:t>1) исплату накнаде за обављен посао лицима ангажованим на јавним радовима (по основу уговора о привременим и повременим пословима у висини до 22.000,00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pPr>
        <w:pStyle w:val="Normal"/>
        <w:spacing w:lineRule="auto" w:line="240" w:before="0" w:after="0"/>
        <w:ind w:firstLine="708"/>
        <w:jc w:val="both"/>
        <w:rPr/>
      </w:pPr>
      <w:r>
        <w:rPr>
          <w:rFonts w:cs="Times New Roman"/>
          <w:lang w:val="sr-RS"/>
        </w:rPr>
        <w:t>2) накнаду трошкова спровођења јавних радова послодавцу (највише до 2.000 динара по лицу, једнократно, у зависности од трајања јавног рада);</w:t>
      </w:r>
    </w:p>
    <w:p>
      <w:pPr>
        <w:pStyle w:val="Normal"/>
        <w:spacing w:lineRule="auto" w:line="240" w:before="0" w:after="0"/>
        <w:ind w:firstLine="708"/>
        <w:jc w:val="both"/>
        <w:rPr/>
      </w:pPr>
      <w:r>
        <w:rPr>
          <w:rFonts w:cs="Times New Roman"/>
          <w:lang w:val="sr-RS"/>
        </w:rPr>
        <w:t>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pPr>
        <w:pStyle w:val="Normal"/>
        <w:spacing w:lineRule="auto" w:line="240" w:before="0" w:after="0"/>
        <w:ind w:firstLine="708"/>
        <w:jc w:val="both"/>
        <w:rPr/>
      </w:pPr>
      <w:r>
        <w:rPr>
          <w:rFonts w:cs="Times New Roman"/>
          <w:lang w:val="sr-RS"/>
        </w:rPr>
        <w:t xml:space="preserve">У 2020. години организоваће се јавни радови у области социјалне заштите и хуманитарног рада, одржавања и обнављања јавне инфраструктуре и одржавања и заштите животне средине и природе. </w:t>
      </w:r>
    </w:p>
    <w:p>
      <w:pPr>
        <w:pStyle w:val="Normal"/>
        <w:spacing w:lineRule="auto" w:line="240" w:before="0" w:after="0"/>
        <w:ind w:firstLine="708"/>
        <w:jc w:val="both"/>
        <w:rPr/>
      </w:pPr>
      <w:r>
        <w:rPr>
          <w:rFonts w:cs="Times New Roman"/>
          <w:lang w:val="sr-RS"/>
        </w:rPr>
        <w:t>За особе са инвалидитетом јавни радови 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pPr>
        <w:pStyle w:val="Normal"/>
        <w:spacing w:lineRule="auto" w:line="240" w:before="0" w:after="0"/>
        <w:ind w:firstLine="708"/>
        <w:jc w:val="both"/>
        <w:rPr/>
      </w:pPr>
      <w:r>
        <w:rPr>
          <w:rFonts w:cs="Times New Roman"/>
          <w:lang w:val="sr-RS"/>
        </w:rPr>
        <w:t>На јавним радовима се радно ангажује најмање 3 (три) незапослене особе са инвалидитетом, без обзира на дужину статуса незапослености на евиденцији НСЗ.</w:t>
      </w:r>
    </w:p>
    <w:p>
      <w:pPr>
        <w:pStyle w:val="Normal"/>
        <w:widowControl/>
        <w:suppressAutoHyphens w:val="false"/>
        <w:spacing w:lineRule="auto" w:line="240" w:before="0" w:after="0"/>
        <w:ind w:firstLine="708"/>
        <w:jc w:val="both"/>
        <w:rPr>
          <w:b w:val="false"/>
          <w:b w:val="false"/>
          <w:bCs w:val="false"/>
          <w:sz w:val="22"/>
          <w:szCs w:val="22"/>
          <w:lang w:val="sr-RS"/>
        </w:rPr>
      </w:pPr>
      <w:r>
        <w:rPr>
          <w:rFonts w:cs="Times New Roman"/>
          <w:b w:val="false"/>
          <w:bCs w:val="false"/>
          <w:sz w:val="22"/>
          <w:szCs w:val="22"/>
          <w:lang w:val="sr-R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pPr>
        <w:pStyle w:val="Normal"/>
        <w:ind w:left="0" w:right="0" w:firstLine="708"/>
        <w:jc w:val="both"/>
        <w:rPr>
          <w:b w:val="false"/>
          <w:b w:val="false"/>
          <w:bCs w:val="false"/>
          <w:sz w:val="22"/>
          <w:szCs w:val="22"/>
          <w:lang w:val="en-US"/>
        </w:rPr>
      </w:pPr>
      <w:r>
        <w:rPr>
          <w:b w:val="false"/>
          <w:bCs w:val="false"/>
          <w:sz w:val="22"/>
          <w:szCs w:val="22"/>
          <w:lang w:val="en-US"/>
        </w:rPr>
      </w:r>
    </w:p>
    <w:p>
      <w:pPr>
        <w:pStyle w:val="Normal"/>
        <w:ind w:left="0" w:right="0" w:firstLine="708"/>
        <w:jc w:val="both"/>
        <w:rPr>
          <w:sz w:val="22"/>
          <w:szCs w:val="22"/>
          <w:lang w:val="en-US"/>
        </w:rPr>
      </w:pPr>
      <w:r>
        <w:rPr>
          <w:sz w:val="22"/>
          <w:szCs w:val="22"/>
          <w:lang w:val="en-US"/>
        </w:rPr>
      </w:r>
    </w:p>
    <w:p>
      <w:pPr>
        <w:pStyle w:val="ListParagraph"/>
        <w:numPr>
          <w:ilvl w:val="0"/>
          <w:numId w:val="0"/>
        </w:numPr>
        <w:ind w:left="720" w:right="0" w:hanging="0"/>
        <w:jc w:val="center"/>
        <w:rPr/>
      </w:pPr>
      <w:r>
        <w:rPr>
          <w:rFonts w:ascii="Times New Roman" w:hAnsi="Times New Roman"/>
          <w:b/>
          <w:sz w:val="24"/>
          <w:szCs w:val="24"/>
          <w:lang w:val="sr-RS"/>
        </w:rPr>
        <w:t xml:space="preserve">4. </w:t>
      </w:r>
      <w:r>
        <w:rPr>
          <w:rFonts w:ascii="Times New Roman" w:hAnsi="Times New Roman"/>
          <w:b/>
          <w:sz w:val="24"/>
          <w:szCs w:val="24"/>
        </w:rPr>
        <w:t xml:space="preserve"> П</w:t>
      </w:r>
      <w:r>
        <w:rPr>
          <w:rFonts w:eastAsia="Calibri" w:cs="Times New Roman" w:ascii="Times New Roman" w:hAnsi="Times New Roman"/>
          <w:b/>
          <w:color w:val="auto"/>
          <w:kern w:val="0"/>
          <w:sz w:val="24"/>
          <w:szCs w:val="24"/>
          <w:lang w:val="sr-RS" w:eastAsia="en-US" w:bidi="ar-SA"/>
        </w:rPr>
        <w:t>рограм стручне праксе</w:t>
      </w:r>
    </w:p>
    <w:p>
      <w:pPr>
        <w:pStyle w:val="Normal"/>
        <w:spacing w:lineRule="auto" w:line="240" w:before="0" w:after="0"/>
        <w:jc w:val="both"/>
        <w:rPr>
          <w:rFonts w:ascii="Calibri Light" w:hAnsi="Calibri Light"/>
          <w:b/>
          <w:b/>
          <w:bCs/>
          <w:lang w:val="en-GB" w:eastAsia="en-GB"/>
        </w:rPr>
      </w:pPr>
      <w:r>
        <w:rPr>
          <w:rFonts w:cs="Times New Roman"/>
          <w:b/>
          <w:bCs/>
          <w:lang w:val="sr-RS" w:eastAsia="en-GB"/>
        </w:rPr>
        <w:tab/>
        <w:t>Програм стручне праксе</w:t>
      </w:r>
      <w:r>
        <w:rPr>
          <w:rFonts w:cs="Times New Roman"/>
          <w:b w:val="false"/>
          <w:bCs/>
          <w:lang w:val="sr-RS" w:eastAsia="en-GB"/>
        </w:rPr>
        <w:t xml:space="preserve"> – подразумева стручно оспособљавање за самосталан рад у струци, за које је стечено одговарајуће образовање – квалификација,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 </w:t>
      </w:r>
    </w:p>
    <w:p>
      <w:pPr>
        <w:pStyle w:val="Normal"/>
        <w:spacing w:lineRule="auto" w:line="240" w:before="0" w:after="0"/>
        <w:jc w:val="both"/>
        <w:rPr>
          <w:rFonts w:ascii="Times New Roman" w:hAnsi="Times New Roman" w:cs="Times New Roman"/>
          <w:b w:val="false"/>
          <w:b w:val="false"/>
          <w:bCs/>
          <w:lang w:val="sr-RS" w:eastAsia="en-GB"/>
        </w:rPr>
      </w:pPr>
      <w:r>
        <w:rPr>
          <w:rFonts w:cs="Times New Roman"/>
          <w:b w:val="false"/>
          <w:bCs/>
          <w:lang w:val="sr-RS" w:eastAsia="en-GB"/>
        </w:rPr>
        <w:t xml:space="preserve">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социјалне заштите и правосуђа. </w:t>
      </w:r>
    </w:p>
    <w:p>
      <w:pPr>
        <w:pStyle w:val="Normal"/>
        <w:spacing w:lineRule="auto" w:line="240" w:before="0" w:after="0"/>
        <w:jc w:val="both"/>
        <w:rPr/>
      </w:pPr>
      <w:r>
        <w:rPr>
          <w:rFonts w:cs="Times New Roman"/>
          <w:b w:val="false"/>
          <w:bCs/>
          <w:lang w:val="sr-RS" w:eastAsia="en-GB"/>
        </w:rPr>
        <w:t xml:space="preserve">Трајање програма утврђено је законом односно правилником, а НСЗ финансира програм најдуже до 12 месеци. </w:t>
      </w:r>
    </w:p>
    <w:p>
      <w:pPr>
        <w:pStyle w:val="Normal"/>
        <w:spacing w:lineRule="auto" w:line="240" w:before="0" w:after="0"/>
        <w:jc w:val="both"/>
        <w:rPr>
          <w:rFonts w:ascii="Times New Roman" w:hAnsi="Times New Roman" w:cs="Times New Roman"/>
          <w:b w:val="false"/>
          <w:b w:val="false"/>
          <w:bCs/>
          <w:lang w:val="sr-RS" w:eastAsia="en-GB"/>
        </w:rPr>
      </w:pPr>
      <w:r>
        <w:rPr>
          <w:rFonts w:cs="Times New Roman"/>
          <w:b w:val="false"/>
          <w:bCs/>
          <w:lang w:val="sr-RS" w:eastAsia="en-GB"/>
        </w:rPr>
      </w:r>
    </w:p>
    <w:p>
      <w:pPr>
        <w:pStyle w:val="Normal"/>
        <w:spacing w:lineRule="auto" w:line="240" w:before="0" w:after="0"/>
        <w:jc w:val="both"/>
        <w:rPr>
          <w:rFonts w:ascii="Times New Roman" w:hAnsi="Times New Roman" w:cs="Times New Roman"/>
          <w:b w:val="false"/>
          <w:b w:val="false"/>
          <w:bCs/>
          <w:lang w:val="sr-RS" w:eastAsia="en-GB"/>
        </w:rPr>
      </w:pPr>
      <w:r>
        <w:rPr>
          <w:rFonts w:cs="Times New Roman"/>
          <w:b w:val="false"/>
          <w:bCs/>
          <w:lang w:val="sr-RS" w:eastAsia="en-GB"/>
        </w:rPr>
      </w:r>
    </w:p>
    <w:p>
      <w:pPr>
        <w:pStyle w:val="Normal"/>
        <w:widowControl/>
        <w:suppressAutoHyphens w:val="false"/>
        <w:jc w:val="center"/>
        <w:rPr/>
      </w:pPr>
      <w:r>
        <w:rPr>
          <w:b/>
          <w:bCs/>
          <w:lang w:val="sr-RS"/>
        </w:rPr>
        <w:t>5. П</w:t>
      </w:r>
      <w:r>
        <w:rPr>
          <w:rFonts w:eastAsia="Arial Unicode MS" w:cs="Times New Roman"/>
          <w:b/>
          <w:bCs/>
          <w:color w:val="auto"/>
          <w:kern w:val="2"/>
          <w:sz w:val="24"/>
          <w:szCs w:val="24"/>
          <w:lang w:val="sr-RS" w:eastAsia="en-US" w:bidi="ar-SA"/>
        </w:rPr>
        <w:t>рограм стицања практичних знања</w:t>
      </w:r>
    </w:p>
    <w:p>
      <w:pPr>
        <w:pStyle w:val="Normal"/>
        <w:widowControl/>
        <w:suppressAutoHyphens w:val="false"/>
        <w:jc w:val="center"/>
        <w:rPr>
          <w:lang w:val="sr-RS"/>
        </w:rPr>
      </w:pPr>
      <w:r>
        <w:rPr>
          <w:lang w:val="sr-RS"/>
        </w:rPr>
      </w:r>
    </w:p>
    <w:p>
      <w:pPr>
        <w:pStyle w:val="Normal"/>
        <w:spacing w:lineRule="auto" w:line="240" w:before="0" w:after="0"/>
        <w:jc w:val="both"/>
        <w:rPr>
          <w:rFonts w:eastAsia="" w:cs="" w:asciiTheme="majorHAnsi" w:cstheme="majorBidi" w:eastAsiaTheme="majorEastAsia" w:hAnsiTheme="majorHAnsi"/>
          <w:b/>
          <w:b/>
          <w:bCs/>
          <w:lang w:val="en-GB" w:eastAsia="en-GB"/>
        </w:rPr>
      </w:pPr>
      <w:r>
        <w:rPr>
          <w:rFonts w:eastAsia="" w:cs="Times New Roman" w:eastAsiaTheme="majorEastAsia"/>
          <w:b w:val="false"/>
          <w:bCs w:val="false"/>
          <w:lang w:val="sr-RS" w:eastAsia="en-GB"/>
        </w:rPr>
        <w:tab/>
      </w:r>
      <w:r>
        <w:rPr>
          <w:rFonts w:eastAsia="" w:cs="Times New Roman" w:eastAsiaTheme="majorEastAsia"/>
          <w:b/>
          <w:bCs/>
          <w:lang w:val="sr-RS" w:eastAsia="en-GB"/>
        </w:rPr>
        <w:t>Програм стицања практичних знања</w:t>
      </w:r>
      <w:r>
        <w:rPr>
          <w:rFonts w:eastAsia="" w:cs="Times New Roman" w:eastAsiaTheme="majorEastAsia"/>
          <w:b w:val="false"/>
          <w:bCs w:val="false"/>
          <w:lang w:val="sr-RS" w:eastAsia="en-GB"/>
        </w:rPr>
        <w:t xml:space="preserve"> за неквалификована лица, вишкове запослених и дугорочно незапослена лица</w:t>
      </w:r>
      <w:r>
        <w:rPr>
          <w:rFonts w:eastAsia="" w:cs="Times New Roman" w:eastAsiaTheme="majorEastAsia"/>
          <w:b/>
          <w:bCs/>
          <w:lang w:val="sr-RS" w:eastAsia="en-GB"/>
        </w:rPr>
        <w:t xml:space="preserve"> </w:t>
      </w:r>
      <w:r>
        <w:rPr>
          <w:rFonts w:eastAsia="" w:cs="Times New Roman" w:eastAsiaTheme="majorEastAsia"/>
          <w:b w:val="false"/>
          <w:bCs/>
          <w:lang w:val="sr-RS" w:eastAsia="en-GB"/>
        </w:rPr>
        <w:t>која се налазе на евиденцији незапослених дуже од 18 месеци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Програм је намењен следећим категоријама незапослених лица, без обзира на године живота:</w:t>
      </w:r>
    </w:p>
    <w:p>
      <w:pPr>
        <w:pStyle w:val="Normal"/>
        <w:spacing w:lineRule="auto" w:line="240" w:before="0" w:after="0"/>
        <w:jc w:val="both"/>
        <w:rPr>
          <w:rFonts w:eastAsia="" w:cs="" w:asciiTheme="majorHAnsi" w:cstheme="majorBidi" w:eastAsiaTheme="majorEastAsia" w:hAnsiTheme="majorHAnsi"/>
          <w:b/>
          <w:b/>
          <w:bCs/>
          <w:lang w:val="en-GB" w:eastAsia="en-GB"/>
        </w:rPr>
      </w:pPr>
      <w:r>
        <w:rPr>
          <w:rFonts w:eastAsia="" w:cs="Times New Roman" w:eastAsiaTheme="majorEastAsia"/>
          <w:b w:val="false"/>
          <w:bCs/>
          <w:lang w:val="sr-RS" w:eastAsia="en-GB"/>
        </w:rPr>
        <w:t xml:space="preserve">       </w:t>
      </w:r>
      <w:r>
        <w:rPr>
          <w:rFonts w:eastAsia="" w:cs="Times New Roman" w:eastAsiaTheme="majorEastAsia"/>
          <w:b w:val="false"/>
          <w:bCs/>
          <w:lang w:val="sr-RS" w:eastAsia="en-GB"/>
        </w:rPr>
        <w:t>- лицима без завршене средње школе, односно без квалификација и лицима која су завршила функционално основно образовање одраслих, који у укупном броју планираних полазника овог програма учествују са најмање 40%;</w:t>
      </w:r>
    </w:p>
    <w:p>
      <w:pPr>
        <w:pStyle w:val="Normal"/>
        <w:spacing w:lineRule="auto" w:line="240" w:before="0" w:after="0"/>
        <w:jc w:val="both"/>
        <w:rPr>
          <w:rFonts w:eastAsia="" w:cs="" w:asciiTheme="majorHAnsi" w:cstheme="majorBidi" w:eastAsiaTheme="majorEastAsia" w:hAnsiTheme="majorHAnsi"/>
          <w:b/>
          <w:b/>
          <w:bCs/>
          <w:lang w:val="en-GB" w:eastAsia="en-GB"/>
        </w:rPr>
      </w:pPr>
      <w:r>
        <w:rPr>
          <w:rFonts w:eastAsia="" w:cs="Times New Roman" w:eastAsiaTheme="majorEastAsia"/>
          <w:b w:val="false"/>
          <w:bCs/>
          <w:lang w:val="sr-RS" w:eastAsia="en-GB"/>
        </w:rPr>
        <w:t xml:space="preserve">       </w:t>
      </w:r>
      <w:r>
        <w:rPr>
          <w:rFonts w:eastAsia="" w:cs="Times New Roman" w:eastAsiaTheme="majorEastAsia"/>
          <w:b w:val="false"/>
          <w:bCs/>
          <w:lang w:val="sr-RS" w:eastAsia="en-GB"/>
        </w:rPr>
        <w:t xml:space="preserve">- лицима из категорије вишкова запослених и лицима која се налазе на евиденцији незапослених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 </w:t>
      </w:r>
    </w:p>
    <w:p>
      <w:pPr>
        <w:pStyle w:val="Normal"/>
        <w:widowControl/>
        <w:suppressAutoHyphens w:val="false"/>
        <w:spacing w:lineRule="auto" w:line="240" w:before="0" w:after="0"/>
        <w:jc w:val="both"/>
        <w:rPr>
          <w:rFonts w:eastAsia="" w:cs="" w:asciiTheme="majorHAnsi" w:cstheme="majorBidi" w:eastAsiaTheme="majorEastAsia" w:hAnsiTheme="majorHAnsi"/>
          <w:b/>
          <w:b/>
          <w:bCs/>
          <w:lang w:val="en-GB" w:eastAsia="en-GB"/>
        </w:rPr>
      </w:pPr>
      <w:r>
        <w:rPr>
          <w:rFonts w:eastAsia="" w:cs="Times New Roman" w:eastAsiaTheme="majorEastAsia"/>
          <w:b w:val="false"/>
          <w:bCs/>
          <w:lang w:val="sr-RS" w:eastAsia="en-GB"/>
        </w:rPr>
        <w:t>Послодавац заснива радни однос на одређено време са незапосленим лицем и остварује 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 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p>
      <w:pPr>
        <w:pStyle w:val="Normal"/>
        <w:spacing w:lineRule="auto" w:line="240" w:before="0" w:after="0"/>
        <w:jc w:val="both"/>
        <w:rPr>
          <w:rFonts w:ascii="Times New Roman" w:hAnsi="Times New Roman" w:cs="Times New Roman"/>
          <w:b w:val="false"/>
          <w:b w:val="false"/>
          <w:bCs/>
          <w:i/>
          <w:i/>
          <w:lang w:val="sr-RS" w:eastAsia="en-GB"/>
        </w:rPr>
      </w:pPr>
      <w:r>
        <w:rPr>
          <w:rFonts w:cs="Times New Roman"/>
          <w:b w:val="false"/>
          <w:bCs/>
          <w:i/>
          <w:lang w:val="sr-RS" w:eastAsia="en-GB"/>
        </w:rPr>
      </w:r>
    </w:p>
    <w:p>
      <w:pPr>
        <w:pStyle w:val="Normal"/>
        <w:ind w:left="0" w:right="0" w:firstLine="708"/>
        <w:jc w:val="both"/>
        <w:rPr>
          <w:sz w:val="22"/>
          <w:szCs w:val="22"/>
        </w:rPr>
      </w:pPr>
      <w:r>
        <w:rPr>
          <w:sz w:val="22"/>
          <w:szCs w:val="22"/>
        </w:rPr>
      </w:r>
    </w:p>
    <w:p>
      <w:pPr>
        <w:pStyle w:val="Normal"/>
        <w:tabs>
          <w:tab w:val="clear" w:pos="709"/>
          <w:tab w:val="left" w:pos="2640" w:leader="none"/>
        </w:tabs>
        <w:rPr>
          <w:b/>
          <w:b/>
          <w:lang w:val="en-US"/>
        </w:rPr>
      </w:pPr>
      <w:r>
        <w:rPr>
          <w:b/>
          <w:lang w:val="en-US"/>
        </w:rPr>
      </w:r>
    </w:p>
    <w:p>
      <w:pPr>
        <w:pStyle w:val="Normal"/>
        <w:tabs>
          <w:tab w:val="clear" w:pos="709"/>
          <w:tab w:val="left" w:pos="2640" w:leader="none"/>
        </w:tabs>
        <w:ind w:left="360" w:right="0" w:hanging="0"/>
        <w:jc w:val="center"/>
        <w:rPr>
          <w:b/>
          <w:b/>
        </w:rPr>
      </w:pPr>
      <w:r>
        <w:rPr>
          <w:b/>
        </w:rPr>
      </w:r>
    </w:p>
    <w:p>
      <w:pPr>
        <w:pStyle w:val="Normal"/>
        <w:tabs>
          <w:tab w:val="clear" w:pos="709"/>
          <w:tab w:val="left" w:pos="2640" w:leader="none"/>
        </w:tabs>
        <w:ind w:left="360" w:right="0" w:hanging="0"/>
        <w:jc w:val="center"/>
        <w:rPr/>
      </w:pPr>
      <w:r>
        <w:rPr>
          <w:b/>
        </w:rPr>
        <w:t>5.</w:t>
      </w:r>
      <w:r>
        <w:rPr/>
        <w:t xml:space="preserve"> </w:t>
      </w:r>
      <w:r>
        <w:rPr>
          <w:b/>
        </w:rPr>
        <w:t>ПРАЋЕЊЕ, ОЦЕНА И ИЗВЕШТАВАЊЕ О РЕАЛИЗАЦИЈИ ЛАПЗ</w:t>
      </w:r>
    </w:p>
    <w:p>
      <w:pPr>
        <w:pStyle w:val="Normal"/>
        <w:tabs>
          <w:tab w:val="clear" w:pos="709"/>
          <w:tab w:val="left" w:pos="2640" w:leader="none"/>
        </w:tabs>
        <w:ind w:left="360" w:right="0" w:hanging="0"/>
        <w:jc w:val="center"/>
        <w:rPr/>
      </w:pPr>
      <w:r>
        <w:rPr/>
      </w:r>
    </w:p>
    <w:tbl>
      <w:tblPr>
        <w:tblW w:w="9493" w:type="dxa"/>
        <w:jc w:val="left"/>
        <w:tblInd w:w="360" w:type="dxa"/>
        <w:tblCellMar>
          <w:top w:w="0" w:type="dxa"/>
          <w:left w:w="108" w:type="dxa"/>
          <w:bottom w:w="0" w:type="dxa"/>
          <w:right w:w="108" w:type="dxa"/>
        </w:tblCellMar>
      </w:tblPr>
      <w:tblGrid>
        <w:gridCol w:w="2684"/>
        <w:gridCol w:w="2125"/>
        <w:gridCol w:w="2332"/>
        <w:gridCol w:w="2351"/>
      </w:tblGrid>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sz w:val="22"/>
                <w:szCs w:val="22"/>
              </w:rPr>
            </w:pPr>
            <w:r>
              <w:rPr>
                <w:sz w:val="22"/>
                <w:szCs w:val="22"/>
              </w:rPr>
              <w:t>Мера/активност</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sz w:val="22"/>
                <w:szCs w:val="22"/>
              </w:rPr>
            </w:pPr>
            <w:r>
              <w:rPr>
                <w:sz w:val="22"/>
                <w:szCs w:val="22"/>
              </w:rPr>
              <w:t>Индикатор</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sz w:val="22"/>
                <w:szCs w:val="22"/>
              </w:rPr>
            </w:pPr>
            <w:r>
              <w:rPr>
                <w:sz w:val="22"/>
                <w:szCs w:val="22"/>
              </w:rPr>
              <w:t>Временски оквир</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sz w:val="22"/>
                <w:szCs w:val="22"/>
              </w:rPr>
            </w:pPr>
            <w:r>
              <w:rPr>
                <w:sz w:val="22"/>
                <w:szCs w:val="22"/>
              </w:rPr>
              <w:t>Одговорност</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Подношење захтева за учешће у финансирању програма или мера АПЗ у 20</w:t>
            </w:r>
            <w:r>
              <w:rPr>
                <w:lang w:val="sr-Latn-RS"/>
              </w:rPr>
              <w:t>20</w:t>
            </w:r>
            <w:r>
              <w:rPr/>
              <w:t>. години</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потврда о подношењу</w:t>
            </w:r>
          </w:p>
          <w:p>
            <w:pPr>
              <w:pStyle w:val="Normal"/>
              <w:tabs>
                <w:tab w:val="clear" w:pos="709"/>
                <w:tab w:val="left" w:pos="2640" w:leader="none"/>
              </w:tabs>
              <w:rPr/>
            </w:pPr>
            <w:r>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20. фебруар</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ЈЛС</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Одлука о учешћу у финансирању програма или мера АПЗ</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пријем обавештења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Април</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НСЗ</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Потписивање споразума о сарадњи ЈЛС и НСЗ</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потписан споразум</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Април</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НСЗ</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Расписивање јавних</w:t>
            </w:r>
          </w:p>
          <w:p>
            <w:pPr>
              <w:pStyle w:val="Normal"/>
              <w:tabs>
                <w:tab w:val="clear" w:pos="709"/>
                <w:tab w:val="left" w:pos="2640" w:leader="none"/>
              </w:tabs>
              <w:jc w:val="both"/>
              <w:rPr/>
            </w:pPr>
            <w:r>
              <w:rPr/>
              <w:t>позива</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расписано 5 јавних позива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Мај-јун</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ЈЛС и НСЗ</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Укупан број лица по</w:t>
            </w:r>
          </w:p>
          <w:p>
            <w:pPr>
              <w:pStyle w:val="Normal"/>
              <w:tabs>
                <w:tab w:val="clear" w:pos="709"/>
                <w:tab w:val="left" w:pos="2640" w:leader="none"/>
              </w:tabs>
              <w:jc w:val="both"/>
              <w:rPr/>
            </w:pPr>
            <w:r>
              <w:rPr/>
              <w:t>поднетим захтевима</w:t>
            </w:r>
          </w:p>
          <w:p>
            <w:pPr>
              <w:pStyle w:val="Normal"/>
              <w:tabs>
                <w:tab w:val="clear" w:pos="709"/>
                <w:tab w:val="left" w:pos="2640" w:leader="none"/>
              </w:tabs>
              <w:jc w:val="both"/>
              <w:rPr/>
            </w:pPr>
            <w:r>
              <w:rPr/>
              <w:t>који су у поступку</w:t>
            </w:r>
          </w:p>
          <w:p>
            <w:pPr>
              <w:pStyle w:val="Normal"/>
              <w:tabs>
                <w:tab w:val="clear" w:pos="709"/>
                <w:tab w:val="left" w:pos="2640" w:leader="none"/>
              </w:tabs>
              <w:jc w:val="both"/>
              <w:rPr/>
            </w:pPr>
            <w:r>
              <w:rPr/>
              <w:t>одлучивања (по</w:t>
            </w:r>
          </w:p>
          <w:p>
            <w:pPr>
              <w:pStyle w:val="Normal"/>
              <w:tabs>
                <w:tab w:val="clear" w:pos="709"/>
                <w:tab w:val="left" w:pos="2640" w:leader="none"/>
              </w:tabs>
              <w:jc w:val="both"/>
              <w:rPr/>
            </w:pPr>
            <w:r>
              <w:rPr/>
              <w:t>мерама)</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lang w:val="sr-Latn-RS"/>
              </w:rPr>
              <w:t>10</w:t>
            </w:r>
            <w:r>
              <w:rPr/>
              <w:t xml:space="preserve"> лица јавни рад</w:t>
            </w:r>
          </w:p>
          <w:p>
            <w:pPr>
              <w:pStyle w:val="Normal"/>
              <w:tabs>
                <w:tab w:val="clear" w:pos="709"/>
                <w:tab w:val="left" w:pos="2640" w:leader="none"/>
              </w:tabs>
              <w:rPr/>
            </w:pPr>
            <w:r>
              <w:rPr>
                <w:lang w:val="sr-Latn-RS"/>
              </w:rPr>
              <w:t xml:space="preserve">2 </w:t>
            </w:r>
            <w:r>
              <w:rPr/>
              <w:t>лица подршка</w:t>
            </w:r>
          </w:p>
          <w:p>
            <w:pPr>
              <w:pStyle w:val="Normal"/>
              <w:tabs>
                <w:tab w:val="clear" w:pos="709"/>
                <w:tab w:val="left" w:pos="2640" w:leader="none"/>
              </w:tabs>
              <w:rPr/>
            </w:pPr>
            <w:r>
              <w:rPr/>
              <w:t>самозапошљавању</w:t>
            </w:r>
          </w:p>
          <w:p>
            <w:pPr>
              <w:pStyle w:val="Normal"/>
              <w:tabs>
                <w:tab w:val="clear" w:pos="709"/>
                <w:tab w:val="left" w:pos="2640" w:leader="none"/>
              </w:tabs>
              <w:rPr/>
            </w:pPr>
            <w:r>
              <w:rPr>
                <w:lang w:val="sr-Latn-RS"/>
              </w:rPr>
              <w:t xml:space="preserve">2 </w:t>
            </w:r>
            <w:r>
              <w:rPr/>
              <w:t>лица из категорије теже запошљивих</w:t>
            </w:r>
          </w:p>
          <w:p>
            <w:pPr>
              <w:pStyle w:val="Normal"/>
              <w:tabs>
                <w:tab w:val="clear" w:pos="709"/>
                <w:tab w:val="left" w:pos="2640" w:leader="none"/>
              </w:tabs>
              <w:rPr/>
            </w:pPr>
            <w:r>
              <w:rPr>
                <w:lang w:val="sr-Latn-RS"/>
              </w:rPr>
              <w:t xml:space="preserve">2 </w:t>
            </w:r>
            <w:r>
              <w:rPr/>
              <w:t xml:space="preserve"> лица стручна пракса</w:t>
            </w:r>
          </w:p>
          <w:p>
            <w:pPr>
              <w:pStyle w:val="Normal"/>
              <w:tabs>
                <w:tab w:val="clear" w:pos="709"/>
                <w:tab w:val="left" w:pos="2640" w:leader="none"/>
              </w:tabs>
              <w:rPr/>
            </w:pPr>
            <w:r>
              <w:rPr>
                <w:lang w:val="sr-Latn-RS"/>
              </w:rPr>
              <w:t>2</w:t>
            </w:r>
            <w:r>
              <w:rPr/>
              <w:t xml:space="preserve"> лица стицање практичних знања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Август</w:t>
            </w:r>
          </w:p>
          <w:p>
            <w:pPr>
              <w:pStyle w:val="Normal"/>
              <w:tabs>
                <w:tab w:val="clear" w:pos="709"/>
                <w:tab w:val="left" w:pos="2640" w:leader="none"/>
              </w:tabs>
              <w:jc w:val="both"/>
              <w:rPr/>
            </w:pPr>
            <w:r>
              <w:rPr/>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ЈЛС и НСЗ</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Одлучивање по</w:t>
            </w:r>
          </w:p>
          <w:p>
            <w:pPr>
              <w:pStyle w:val="Normal"/>
              <w:tabs>
                <w:tab w:val="clear" w:pos="709"/>
                <w:tab w:val="left" w:pos="2640" w:leader="none"/>
              </w:tabs>
              <w:jc w:val="both"/>
              <w:rPr/>
            </w:pPr>
            <w:r>
              <w:rPr/>
              <w:t>захтевима</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број одобрених захтева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Август</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ЈЛС и НСЗ</w:t>
            </w:r>
          </w:p>
          <w:p>
            <w:pPr>
              <w:pStyle w:val="Normal"/>
              <w:tabs>
                <w:tab w:val="clear" w:pos="709"/>
                <w:tab w:val="left" w:pos="2640" w:leader="none"/>
              </w:tabs>
              <w:jc w:val="both"/>
              <w:rPr/>
            </w:pPr>
            <w:r>
              <w:rPr/>
              <w:t>( уз учешће ЛСЗ)</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Укупно укључена</w:t>
            </w:r>
          </w:p>
          <w:p>
            <w:pPr>
              <w:pStyle w:val="Normal"/>
              <w:tabs>
                <w:tab w:val="clear" w:pos="709"/>
                <w:tab w:val="left" w:pos="2640" w:leader="none"/>
              </w:tabs>
              <w:jc w:val="both"/>
              <w:rPr/>
            </w:pPr>
            <w:r>
              <w:rPr/>
              <w:t>лица у мере</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број лица у мерама ( по</w:t>
            </w:r>
          </w:p>
          <w:p>
            <w:pPr>
              <w:pStyle w:val="Normal"/>
              <w:tabs>
                <w:tab w:val="clear" w:pos="709"/>
                <w:tab w:val="left" w:pos="2640" w:leader="none"/>
              </w:tabs>
              <w:rPr/>
            </w:pPr>
            <w:r>
              <w:rPr/>
              <w:t>мерама и циљним групама)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Септембар</w:t>
            </w:r>
            <w:r>
              <w:rPr>
                <w:lang w:val="en-US"/>
              </w:rPr>
              <w:t xml:space="preserve"> </w:t>
            </w:r>
            <w:r>
              <w:rPr/>
              <w:t>-</w:t>
            </w:r>
            <w:r>
              <w:rPr>
                <w:lang w:val="en-US"/>
              </w:rPr>
              <w:t xml:space="preserve"> </w:t>
            </w:r>
            <w:r>
              <w:rPr/>
              <w:t>праћење на месечном нивоу док мера траје</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ЈЛС и НСЗ</w:t>
            </w:r>
          </w:p>
          <w:p>
            <w:pPr>
              <w:pStyle w:val="Normal"/>
              <w:tabs>
                <w:tab w:val="clear" w:pos="709"/>
                <w:tab w:val="left" w:pos="2640" w:leader="none"/>
              </w:tabs>
              <w:rPr/>
            </w:pPr>
            <w:r>
              <w:rPr/>
              <w:t>(ЛСЗ)</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Укупан број лица</w:t>
            </w:r>
          </w:p>
          <w:p>
            <w:pPr>
              <w:pStyle w:val="Normal"/>
              <w:tabs>
                <w:tab w:val="clear" w:pos="709"/>
                <w:tab w:val="left" w:pos="2640" w:leader="none"/>
              </w:tabs>
              <w:jc w:val="both"/>
              <w:rPr/>
            </w:pPr>
            <w:r>
              <w:rPr/>
              <w:t>која су завршила</w:t>
            </w:r>
          </w:p>
          <w:p>
            <w:pPr>
              <w:pStyle w:val="Normal"/>
              <w:tabs>
                <w:tab w:val="clear" w:pos="709"/>
                <w:tab w:val="left" w:pos="2640" w:leader="none"/>
              </w:tabs>
              <w:jc w:val="both"/>
              <w:rPr/>
            </w:pPr>
            <w:r>
              <w:rPr/>
              <w:t>меру</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број лица</w:t>
            </w:r>
            <w:r>
              <w:rPr>
                <w:lang w:val="sr-RS"/>
              </w:rPr>
              <w:t xml:space="preserve"> </w:t>
            </w:r>
            <w:r>
              <w:rPr>
                <w:lang w:val="sr-RS"/>
              </w:rPr>
              <w:t>по</w:t>
            </w:r>
            <w:r>
              <w:rPr>
                <w:lang w:val="sr-RS"/>
              </w:rPr>
              <w:t xml:space="preserve"> </w:t>
            </w:r>
            <w:r>
              <w:rPr/>
              <w:t>мерама (по мерама и циљним групама)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По завршетку мере</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ЈЛС и НСЗ</w:t>
            </w:r>
          </w:p>
          <w:p>
            <w:pPr>
              <w:pStyle w:val="Normal"/>
              <w:tabs>
                <w:tab w:val="clear" w:pos="709"/>
                <w:tab w:val="left" w:pos="2640" w:leader="none"/>
              </w:tabs>
              <w:jc w:val="both"/>
              <w:rPr/>
            </w:pPr>
            <w:r>
              <w:rPr/>
              <w:t>(ЛСЗ)</w:t>
            </w:r>
          </w:p>
          <w:p>
            <w:pPr>
              <w:pStyle w:val="Normal"/>
              <w:tabs>
                <w:tab w:val="clear" w:pos="709"/>
                <w:tab w:val="left" w:pos="2640" w:leader="none"/>
              </w:tabs>
              <w:jc w:val="both"/>
              <w:rPr/>
            </w:pPr>
            <w:r>
              <w:rPr/>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Ефека</w:t>
            </w:r>
            <w:r>
              <w:rPr>
                <w:lang w:val="sr-RS"/>
              </w:rPr>
              <w:t>т</w:t>
            </w:r>
            <w:r>
              <w:rPr/>
              <w:t xml:space="preserve"> мере на</w:t>
            </w:r>
          </w:p>
          <w:p>
            <w:pPr>
              <w:pStyle w:val="Normal"/>
              <w:tabs>
                <w:tab w:val="clear" w:pos="709"/>
                <w:tab w:val="left" w:pos="2640" w:leader="none"/>
              </w:tabs>
              <w:jc w:val="both"/>
              <w:rPr/>
            </w:pPr>
            <w:r>
              <w:rPr/>
              <w:t>запошљавање (бруто</w:t>
            </w:r>
          </w:p>
          <w:p>
            <w:pPr>
              <w:pStyle w:val="Normal"/>
              <w:tabs>
                <w:tab w:val="clear" w:pos="709"/>
                <w:tab w:val="left" w:pos="2640" w:leader="none"/>
              </w:tabs>
              <w:jc w:val="both"/>
              <w:rPr/>
            </w:pPr>
            <w:r>
              <w:rPr/>
              <w:t>ефекат)</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број лица запослено (по мерама и циљним групама)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6 месеци по изласку из мере/уговорне обавезе</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НСЗ</w:t>
            </w:r>
          </w:p>
          <w:p>
            <w:pPr>
              <w:pStyle w:val="Normal"/>
              <w:tabs>
                <w:tab w:val="clear" w:pos="709"/>
                <w:tab w:val="left" w:pos="2640" w:leader="none"/>
              </w:tabs>
              <w:jc w:val="both"/>
              <w:rPr/>
            </w:pPr>
            <w:r>
              <w:rPr/>
              <w:t>(ЛСЗ)</w:t>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Утрошак средстава</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rPr/>
            </w:pPr>
            <w:r>
              <w:rPr/>
              <w:t>Износ средстава по мерама</w:t>
            </w:r>
          </w:p>
          <w:p>
            <w:pPr>
              <w:pStyle w:val="Normal"/>
              <w:tabs>
                <w:tab w:val="clear" w:pos="709"/>
                <w:tab w:val="left" w:pos="2640" w:leader="none"/>
              </w:tabs>
              <w:jc w:val="both"/>
              <w:rPr/>
            </w:pPr>
            <w:r>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Након реализације свих финансијских обавеза</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ЈЛС и НСЗ</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Анализа</w:t>
            </w:r>
          </w:p>
          <w:p>
            <w:pPr>
              <w:pStyle w:val="Normal"/>
              <w:tabs>
                <w:tab w:val="clear" w:pos="709"/>
                <w:tab w:val="left" w:pos="2640" w:leader="none"/>
              </w:tabs>
              <w:jc w:val="both"/>
              <w:rPr/>
            </w:pPr>
            <w:r>
              <w:rPr/>
              <w:t>успештности ЛАПЗ</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Израђена анализа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 xml:space="preserve">Након завршетка </w:t>
            </w:r>
          </w:p>
          <w:p>
            <w:pPr>
              <w:pStyle w:val="Normal"/>
              <w:tabs>
                <w:tab w:val="clear" w:pos="709"/>
                <w:tab w:val="left" w:pos="2640" w:leader="none"/>
              </w:tabs>
              <w:jc w:val="both"/>
              <w:rPr/>
            </w:pPr>
            <w:r>
              <w:rPr/>
              <w:t>мера ЛАПЗ</w:t>
            </w:r>
          </w:p>
        </w:tc>
        <w:tc>
          <w:tcPr>
            <w:tcW w:w="23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640" w:leader="none"/>
              </w:tabs>
              <w:jc w:val="both"/>
              <w:rPr/>
            </w:pPr>
            <w:r>
              <w:rPr/>
              <w:t>ЛСЗ</w:t>
            </w:r>
          </w:p>
        </w:tc>
      </w:tr>
    </w:tbl>
    <w:p>
      <w:pPr>
        <w:pStyle w:val="Normal"/>
        <w:tabs>
          <w:tab w:val="clear" w:pos="709"/>
          <w:tab w:val="left" w:pos="2640" w:leader="none"/>
        </w:tabs>
        <w:ind w:left="360" w:right="0" w:hanging="0"/>
        <w:jc w:val="both"/>
        <w:rPr/>
      </w:pPr>
      <w:r>
        <w:rPr/>
        <w:t xml:space="preserve"> </w:t>
      </w:r>
    </w:p>
    <w:p>
      <w:pPr>
        <w:pStyle w:val="Normal"/>
        <w:tabs>
          <w:tab w:val="clear" w:pos="709"/>
          <w:tab w:val="left" w:pos="2640" w:leader="none"/>
        </w:tabs>
        <w:ind w:left="360" w:right="0" w:hanging="0"/>
        <w:jc w:val="both"/>
        <w:rPr/>
      </w:pPr>
      <w:r>
        <w:rPr/>
      </w:r>
    </w:p>
    <w:sectPr>
      <w:headerReference w:type="default" r:id="rId2"/>
      <w:type w:val="nextPage"/>
      <w:pgSz w:w="11906" w:h="16838"/>
      <w:pgMar w:left="1134" w:right="1134" w:header="113" w:top="170" w:footer="0" w:bottom="1135"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Verdana">
    <w:charset w:val="00"/>
    <w:family w:val="roman"/>
    <w:pitch w:val="variable"/>
  </w:font>
  <w:font w:name="Arial">
    <w:charset w:val="00"/>
    <w:family w:val="roman"/>
    <w:pitch w:val="variable"/>
  </w:font>
  <w:font w:name="Calibri Light">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sr-Latn-CS"/>
      </w:rPr>
    </w:pPr>
    <w:r>
      <w:rPr>
        <w:lang w:val="sr-Latn-CS"/>
      </w:rPr>
    </w:r>
  </w:p>
  <w:p>
    <w:pPr>
      <w:pStyle w:val="Normal"/>
      <w:rPr/>
    </w:pPr>
    <w:r>
      <w:rPr/>
    </w:r>
  </w:p>
  <w:p>
    <w:pPr>
      <w:pStyle w:val="Normal"/>
      <w:rPr/>
    </w:pPr>
    <w:r>
      <w:rPr/>
    </w:r>
  </w:p>
  <w:p>
    <w:pPr>
      <w:pStyle w:val="Normal"/>
      <w:rPr>
        <w:rFonts w:ascii="Times New Roman" w:hAnsi="Times New Roman" w:eastAsia="Arial Unicode MS" w:cs="Times New Roman"/>
        <w:color w:val="auto"/>
        <w:kern w:val="2"/>
        <w:sz w:val="24"/>
        <w:szCs w:val="24"/>
        <w:lang w:val="sr-RS" w:eastAsia="en-US" w:bidi="ar-SA"/>
      </w:rPr>
    </w:pPr>
    <w:r>
      <w:rPr>
        <w:rFonts w:eastAsia="Arial Unicode MS" w:cs="Times New Roman"/>
        <w:color w:val="auto"/>
        <w:kern w:val="2"/>
        <w:sz w:val="24"/>
        <w:szCs w:val="24"/>
        <w:lang w:val="sr-RS" w:eastAsia="en-US" w:bidi="ar-SA"/>
      </w:rPr>
      <w:t>НАЦРТ</w:t>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65"/>
        </w:tabs>
        <w:ind w:left="1065" w:hanging="360"/>
      </w:pPr>
      <w:rPr>
        <w:rFonts w:ascii="Times New Roman" w:hAnsi="Times New Roman" w:cs="Times New Roman" w:hint="default"/>
        <w:rFonts w:cs="Times New Roman"/>
      </w:rPr>
    </w:lvl>
    <w:lvl w:ilvl="1">
      <w:start w:val="1"/>
      <w:numFmt w:val="bullet"/>
      <w:lvlText w:val="o"/>
      <w:lvlJc w:val="left"/>
      <w:pPr>
        <w:tabs>
          <w:tab w:val="num" w:pos="1785"/>
        </w:tabs>
        <w:ind w:left="1785" w:hanging="360"/>
      </w:pPr>
      <w:rPr>
        <w:rFonts w:ascii="Courier New" w:hAnsi="Courier New" w:cs="Courier New" w:hint="default"/>
        <w:rFonts w:cs="Courier New"/>
      </w:rPr>
    </w:lvl>
    <w:lvl w:ilvl="2">
      <w:start w:val="1"/>
      <w:numFmt w:val="bullet"/>
      <w:lvlText w:val=""/>
      <w:lvlJc w:val="left"/>
      <w:pPr>
        <w:tabs>
          <w:tab w:val="num" w:pos="2505"/>
        </w:tabs>
        <w:ind w:left="2505" w:hanging="360"/>
      </w:pPr>
      <w:rPr>
        <w:rFonts w:ascii="Wingdings" w:hAnsi="Wingdings" w:cs="Wingdings" w:hint="default"/>
        <w:rFonts w:cs="Wingdings"/>
      </w:rPr>
    </w:lvl>
    <w:lvl w:ilvl="3">
      <w:start w:val="1"/>
      <w:numFmt w:val="bullet"/>
      <w:lvlText w:val=""/>
      <w:lvlJc w:val="left"/>
      <w:pPr>
        <w:tabs>
          <w:tab w:val="num" w:pos="3225"/>
        </w:tabs>
        <w:ind w:left="3225" w:hanging="360"/>
      </w:pPr>
      <w:rPr>
        <w:rFonts w:ascii="Symbol" w:hAnsi="Symbol" w:cs="Symbol" w:hint="default"/>
        <w:rFonts w:cs="Symbol"/>
      </w:rPr>
    </w:lvl>
    <w:lvl w:ilvl="4">
      <w:start w:val="1"/>
      <w:numFmt w:val="bullet"/>
      <w:lvlText w:val="o"/>
      <w:lvlJc w:val="left"/>
      <w:pPr>
        <w:tabs>
          <w:tab w:val="num" w:pos="3945"/>
        </w:tabs>
        <w:ind w:left="3945" w:hanging="360"/>
      </w:pPr>
      <w:rPr>
        <w:rFonts w:ascii="Courier New" w:hAnsi="Courier New" w:cs="Courier New" w:hint="default"/>
        <w:rFonts w:cs="Courier New"/>
      </w:rPr>
    </w:lvl>
    <w:lvl w:ilvl="5">
      <w:start w:val="1"/>
      <w:numFmt w:val="bullet"/>
      <w:lvlText w:val=""/>
      <w:lvlJc w:val="left"/>
      <w:pPr>
        <w:tabs>
          <w:tab w:val="num" w:pos="4665"/>
        </w:tabs>
        <w:ind w:left="4665" w:hanging="360"/>
      </w:pPr>
      <w:rPr>
        <w:rFonts w:ascii="Wingdings" w:hAnsi="Wingdings" w:cs="Wingdings" w:hint="default"/>
        <w:rFonts w:cs="Wingdings"/>
      </w:rPr>
    </w:lvl>
    <w:lvl w:ilvl="6">
      <w:start w:val="1"/>
      <w:numFmt w:val="bullet"/>
      <w:lvlText w:val=""/>
      <w:lvlJc w:val="left"/>
      <w:pPr>
        <w:tabs>
          <w:tab w:val="num" w:pos="5385"/>
        </w:tabs>
        <w:ind w:left="5385" w:hanging="360"/>
      </w:pPr>
      <w:rPr>
        <w:rFonts w:ascii="Symbol" w:hAnsi="Symbol" w:cs="Symbol" w:hint="default"/>
        <w:rFonts w:cs="Symbol"/>
      </w:rPr>
    </w:lvl>
    <w:lvl w:ilvl="7">
      <w:start w:val="1"/>
      <w:numFmt w:val="bullet"/>
      <w:lvlText w:val="o"/>
      <w:lvlJc w:val="left"/>
      <w:pPr>
        <w:tabs>
          <w:tab w:val="num" w:pos="6105"/>
        </w:tabs>
        <w:ind w:left="6105" w:hanging="360"/>
      </w:pPr>
      <w:rPr>
        <w:rFonts w:ascii="Courier New" w:hAnsi="Courier New" w:cs="Courier New" w:hint="default"/>
        <w:rFonts w:cs="Courier New"/>
      </w:rPr>
    </w:lvl>
    <w:lvl w:ilvl="8">
      <w:start w:val="1"/>
      <w:numFmt w:val="bullet"/>
      <w:lvlText w:val=""/>
      <w:lvlJc w:val="left"/>
      <w:pPr>
        <w:tabs>
          <w:tab w:val="num" w:pos="6825"/>
        </w:tabs>
        <w:ind w:left="6825" w:hanging="360"/>
      </w:pPr>
      <w:rPr>
        <w:rFonts w:ascii="Wingdings" w:hAnsi="Wingdings" w:cs="Wingdings" w:hint="default"/>
        <w:rFonts w:cs="Wingdings"/>
      </w:rPr>
    </w:lvl>
  </w:abstractNum>
  <w:abstractNum w:abstractNumId="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lvl w:ilvl="0">
      <w:start w:val="1"/>
      <w:numFmt w:val="decimal"/>
      <w:lvlText w:val="%1."/>
      <w:lvlJc w:val="left"/>
      <w:pPr>
        <w:ind w:left="360" w:hanging="360"/>
      </w:pPr>
    </w:lvl>
    <w:lvl w:ilvl="1">
      <w:start w:val="1"/>
      <w:numFmt w:val="decimal"/>
      <w:lvlText w:val="%1.%2."/>
      <w:lvlJc w:val="left"/>
      <w:pPr>
        <w:ind w:left="1068" w:hanging="360"/>
      </w:pPr>
      <w:rPr>
        <w:sz w:val="24"/>
        <w:b/>
        <w:rFonts w:ascii="Times New Roman" w:hAnsi="Times New Roman" w:cs="Times New Roman"/>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lvl w:ilvl="0">
      <w:start w:val="1"/>
      <w:numFmt w:val="decimal"/>
      <w:lvlText w:val="%1)"/>
      <w:lvlJc w:val="left"/>
      <w:pPr>
        <w:ind w:left="1080" w:hanging="360"/>
      </w:pPr>
      <w:rPr>
        <w:b/>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decimal"/>
      <w:lvlText w:val="%1."/>
      <w:lvlJc w:val="left"/>
      <w:pPr>
        <w:ind w:left="720" w:hanging="360"/>
      </w:pPr>
      <w:rPr>
        <w:sz w:val="24"/>
        <w:b/>
        <w:rFonts w:ascii="Times New Roman" w:hAnsi="Times New Roman" w:eastAsia="Times New Roman"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en-US" w:eastAsia="en-US" w:bidi="ar-SA"/>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Arial Unicode MS" w:cs="Times New Roman"/>
      <w:color w:val="auto"/>
      <w:kern w:val="2"/>
      <w:sz w:val="24"/>
      <w:szCs w:val="24"/>
      <w:lang w:val="sr-CS" w:eastAsia="en-US" w:bidi="ar-SA"/>
    </w:rPr>
  </w:style>
  <w:style w:type="character" w:styleId="DefaultParagraphFont">
    <w:name w:val="Default Paragraph Font"/>
    <w:qFormat/>
    <w:rPr/>
  </w:style>
  <w:style w:type="character" w:styleId="HeaderChar">
    <w:name w:val="Header Char"/>
    <w:qFormat/>
    <w:rPr>
      <w:rFonts w:eastAsia="Arial Unicode MS"/>
      <w:kern w:val="2"/>
      <w:sz w:val="24"/>
      <w:szCs w:val="24"/>
      <w:lang w:val="sr-CS"/>
    </w:rPr>
  </w:style>
  <w:style w:type="character" w:styleId="FooterChar">
    <w:name w:val="Footer Char"/>
    <w:qFormat/>
    <w:rPr>
      <w:rFonts w:eastAsia="Arial Unicode MS"/>
      <w:kern w:val="2"/>
      <w:sz w:val="24"/>
      <w:szCs w:val="24"/>
      <w:lang w:val="sr-CS"/>
    </w:rPr>
  </w:style>
  <w:style w:type="character" w:styleId="Annotationreference">
    <w:name w:val="annotation reference"/>
    <w:qFormat/>
    <w:rPr>
      <w:sz w:val="16"/>
      <w:szCs w:val="16"/>
    </w:rPr>
  </w:style>
  <w:style w:type="character" w:styleId="CommentTextChar">
    <w:name w:val="Comment Text Char"/>
    <w:qFormat/>
    <w:rPr>
      <w:rFonts w:eastAsia="Arial Unicode MS"/>
      <w:kern w:val="2"/>
      <w:lang w:val="sr-CS"/>
    </w:rPr>
  </w:style>
  <w:style w:type="character" w:styleId="CommentSubjectChar">
    <w:name w:val="Comment Subject Char"/>
    <w:qFormat/>
    <w:rPr>
      <w:rFonts w:eastAsia="Arial Unicode MS"/>
      <w:b/>
      <w:bCs/>
      <w:kern w:val="2"/>
      <w:lang w:val="sr-CS"/>
    </w:rPr>
  </w:style>
  <w:style w:type="character" w:styleId="BalloonTextChar">
    <w:name w:val="Balloon Text Char"/>
    <w:qFormat/>
    <w:rPr>
      <w:rFonts w:ascii="Tahoma" w:hAnsi="Tahoma" w:eastAsia="Arial Unicode MS" w:cs="Tahoma"/>
      <w:kern w:val="2"/>
      <w:sz w:val="16"/>
      <w:szCs w:val="16"/>
      <w:lang w:val="sr-CS"/>
    </w:rPr>
  </w:style>
  <w:style w:type="character" w:styleId="ListParagraphChar">
    <w:name w:val="List Paragraph Char"/>
    <w:qFormat/>
    <w:rPr>
      <w:rFonts w:ascii="Calibri" w:hAnsi="Calibri" w:eastAsia="Calibri"/>
      <w:sz w:val="22"/>
      <w:lang w:val="pl-PL"/>
    </w:rPr>
  </w:style>
  <w:style w:type="character" w:styleId="FootnoteTextChar">
    <w:name w:val="Footnote Text Char"/>
    <w:qFormat/>
    <w:rPr>
      <w:rFonts w:eastAsia="Arial Unicode MS"/>
      <w:kern w:val="2"/>
      <w:lang w:val="sr-CS"/>
    </w:rPr>
  </w:style>
  <w:style w:type="character" w:styleId="FootnoteTextChar1">
    <w:name w:val="Footnote Text Char1"/>
    <w:qFormat/>
    <w:rPr>
      <w:rFonts w:ascii="Verdana" w:hAnsi="Verdana" w:eastAsia="Calibri"/>
    </w:rPr>
  </w:style>
  <w:style w:type="character" w:styleId="FootnoteCharacters">
    <w:name w:val="Footnote Characters"/>
    <w:qFormat/>
    <w:rPr>
      <w:rFonts w:cs="Times New Roman"/>
      <w:vertAlign w:val="superscript"/>
    </w:rPr>
  </w:style>
  <w:style w:type="character" w:styleId="FootnoteAnchor">
    <w:name w:val="Footnote Anchor"/>
    <w:rPr>
      <w:rFonts w:cs="Times New Roman"/>
      <w:vertAlign w:val="superscript"/>
    </w:rPr>
  </w:style>
  <w:style w:type="character" w:styleId="Appleconvertedspace">
    <w:name w:val="apple-converted-space"/>
    <w:basedOn w:val="DefaultParagraphFont"/>
    <w:qFormat/>
    <w:rPr/>
  </w:style>
  <w:style w:type="paragraph" w:styleId="Heading">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HeaderandFooter">
    <w:name w:val="Header and Footer"/>
    <w:basedOn w:val="Normal"/>
    <w:qFormat/>
    <w:pPr/>
    <w:rPr/>
  </w:style>
  <w:style w:type="paragraph" w:styleId="Header">
    <w:name w:val="Header"/>
    <w:basedOn w:val="Normal"/>
    <w:pPr>
      <w:tabs>
        <w:tab w:val="clear" w:pos="709"/>
        <w:tab w:val="center" w:pos="4535" w:leader="none"/>
        <w:tab w:val="right" w:pos="9071" w:leader="none"/>
      </w:tabs>
    </w:pPr>
    <w:rPr/>
  </w:style>
  <w:style w:type="paragraph" w:styleId="Footer">
    <w:name w:val="Footer"/>
    <w:basedOn w:val="Normal"/>
    <w:pPr>
      <w:tabs>
        <w:tab w:val="clear" w:pos="709"/>
        <w:tab w:val="center" w:pos="4535" w:leader="none"/>
        <w:tab w:val="right" w:pos="9071"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Tahoma" w:hAnsi="Tahoma"/>
      <w:sz w:val="16"/>
      <w:szCs w:val="16"/>
    </w:rPr>
  </w:style>
  <w:style w:type="paragraph" w:styleId="Default">
    <w:name w:val="Default"/>
    <w:qFormat/>
    <w:pPr>
      <w:widowControl/>
      <w:overflowPunct w:val="false"/>
      <w:bidi w:val="0"/>
      <w:jc w:val="left"/>
    </w:pPr>
    <w:rPr>
      <w:rFonts w:ascii="Arial" w:hAnsi="Arial" w:eastAsia="Times New Roman" w:cs="Arial"/>
      <w:color w:val="000000"/>
      <w:kern w:val="0"/>
      <w:sz w:val="24"/>
      <w:szCs w:val="24"/>
      <w:lang w:val="en-US" w:eastAsia="en-US" w:bidi="ar-SA"/>
    </w:rPr>
  </w:style>
  <w:style w:type="paragraph" w:styleId="ListParagraph">
    <w:name w:val="List Paragraph"/>
    <w:basedOn w:val="Normal"/>
    <w:qFormat/>
    <w:pPr>
      <w:widowControl/>
      <w:suppressAutoHyphens w:val="false"/>
      <w:spacing w:lineRule="auto" w:line="276" w:before="0" w:after="200"/>
      <w:ind w:left="720" w:right="0" w:hanging="0"/>
    </w:pPr>
    <w:rPr>
      <w:rFonts w:ascii="Calibri" w:hAnsi="Calibri" w:eastAsia="Calibri"/>
      <w:kern w:val="0"/>
      <w:sz w:val="22"/>
      <w:szCs w:val="20"/>
      <w:lang w:val="pl-PL"/>
    </w:rPr>
  </w:style>
  <w:style w:type="paragraph" w:styleId="Footnote">
    <w:name w:val="Footnote Text"/>
    <w:basedOn w:val="Normal"/>
    <w:pPr>
      <w:widowControl/>
      <w:suppressAutoHyphens w:val="false"/>
      <w:ind w:left="0" w:right="0" w:firstLine="360"/>
      <w:jc w:val="both"/>
    </w:pPr>
    <w:rPr>
      <w:rFonts w:ascii="Verdana" w:hAnsi="Verdana" w:eastAsia="Calibri"/>
      <w:kern w:val="0"/>
      <w:sz w:val="20"/>
      <w:szCs w:val="20"/>
    </w:rPr>
  </w:style>
  <w:style w:type="paragraph" w:styleId="NormalWeb">
    <w:name w:val="Normal (Web)"/>
    <w:basedOn w:val="Normal"/>
    <w:qFormat/>
    <w:pPr>
      <w:widowControl/>
      <w:suppressAutoHyphens w:val="false"/>
      <w:spacing w:before="280" w:after="280"/>
    </w:pPr>
    <w:rPr>
      <w:rFonts w:eastAsia="Times New Roman"/>
      <w:kern w:val="0"/>
      <w:lang w:val="en-US"/>
    </w:rPr>
  </w:style>
  <w:style w:type="paragraph" w:styleId="NoSpacing">
    <w:name w:val="No Spacing"/>
    <w:qFormat/>
    <w:pPr>
      <w:widowControl w:val="false"/>
      <w:suppressAutoHyphens w:val="true"/>
      <w:overflowPunct w:val="false"/>
      <w:bidi w:val="0"/>
      <w:jc w:val="left"/>
    </w:pPr>
    <w:rPr>
      <w:rFonts w:ascii="Times New Roman" w:hAnsi="Times New Roman" w:eastAsia="Arial Unicode MS" w:cs="Times New Roman"/>
      <w:color w:val="auto"/>
      <w:kern w:val="2"/>
      <w:sz w:val="24"/>
      <w:szCs w:val="24"/>
      <w:lang w:val="sr-C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2539</TotalTime>
  <Application>LibreOffice/6.3.0.4$Windows_X86_64 LibreOffice_project/057fc023c990d676a43019934386b85b21a9ee99</Application>
  <Pages>12</Pages>
  <Words>3920</Words>
  <Characters>22685</Characters>
  <CharactersWithSpaces>26358</CharactersWithSpaces>
  <Paragraphs>432</Paragraphs>
  <Company>nsz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2019-02-04T13:21:00Z</dcterms:created>
  <dc:creator>k01804</dc:creator>
  <dc:description/>
  <dc:language>en-GB</dc:language>
  <cp:lastModifiedBy/>
  <cp:lastPrinted>2020-01-08T08:41:18Z</cp:lastPrinted>
  <dcterms:modified xsi:type="dcterms:W3CDTF">2020-01-13T10:47:12Z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nsz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